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1D6" w:rsidRPr="007111D6" w:rsidRDefault="00927A54" w:rsidP="007111D6">
      <w:pPr>
        <w:widowControl/>
        <w:spacing w:line="520" w:lineRule="exact"/>
        <w:ind w:firstLine="600"/>
        <w:jc w:val="center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各</w:t>
      </w:r>
      <w:r w:rsidR="007111D6" w:rsidRPr="007111D6">
        <w:rPr>
          <w:rFonts w:ascii="仿宋" w:eastAsia="仿宋" w:hAnsi="仿宋" w:hint="eastAsia"/>
          <w:b/>
          <w:sz w:val="32"/>
          <w:szCs w:val="32"/>
        </w:rPr>
        <w:t>重点工点工程概况</w:t>
      </w:r>
    </w:p>
    <w:p w:rsidR="007111D6" w:rsidRPr="0038765C" w:rsidRDefault="007111D6" w:rsidP="007111D6">
      <w:pPr>
        <w:widowControl/>
        <w:spacing w:line="520" w:lineRule="exact"/>
        <w:rPr>
          <w:rFonts w:ascii="华文仿宋" w:eastAsia="华文仿宋" w:hAnsi="华文仿宋"/>
          <w:b/>
          <w:sz w:val="28"/>
          <w:szCs w:val="28"/>
        </w:rPr>
      </w:pPr>
      <w:r>
        <w:rPr>
          <w:rFonts w:ascii="华文仿宋" w:eastAsia="华文仿宋" w:hAnsi="华文仿宋" w:hint="eastAsia"/>
          <w:b/>
          <w:sz w:val="28"/>
          <w:szCs w:val="28"/>
        </w:rPr>
        <w:t>一、</w:t>
      </w:r>
      <w:r w:rsidRPr="0038765C">
        <w:rPr>
          <w:rFonts w:ascii="华文仿宋" w:eastAsia="华文仿宋" w:hAnsi="华文仿宋" w:hint="eastAsia"/>
          <w:b/>
          <w:sz w:val="28"/>
          <w:szCs w:val="28"/>
        </w:rPr>
        <w:t>陈</w:t>
      </w:r>
      <w:proofErr w:type="gramStart"/>
      <w:r w:rsidRPr="0038765C">
        <w:rPr>
          <w:rFonts w:ascii="华文仿宋" w:eastAsia="华文仿宋" w:hAnsi="华文仿宋" w:hint="eastAsia"/>
          <w:b/>
          <w:sz w:val="28"/>
          <w:szCs w:val="28"/>
        </w:rPr>
        <w:t>婆渡站</w:t>
      </w:r>
      <w:proofErr w:type="gramEnd"/>
      <w:r w:rsidRPr="0038765C">
        <w:rPr>
          <w:rFonts w:ascii="华文仿宋" w:eastAsia="华文仿宋" w:hAnsi="华文仿宋" w:hint="eastAsia"/>
          <w:b/>
          <w:sz w:val="28"/>
          <w:szCs w:val="28"/>
        </w:rPr>
        <w:t>：</w:t>
      </w: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1869440</wp:posOffset>
            </wp:positionV>
            <wp:extent cx="5277485" cy="2328545"/>
            <wp:effectExtent l="19050" t="0" r="0" b="0"/>
            <wp:wrapSquare wrapText="bothSides"/>
            <wp:docPr id="4" name="图片 1" descr="陈婆渡总平面1 拷贝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19" descr="陈婆渡总平面1 拷贝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765C">
        <w:rPr>
          <w:rFonts w:ascii="华文仿宋" w:eastAsia="华文仿宋" w:hAnsi="华文仿宋" w:hint="eastAsia"/>
          <w:sz w:val="28"/>
          <w:szCs w:val="28"/>
        </w:rPr>
        <w:t>陈</w:t>
      </w:r>
      <w:proofErr w:type="gramStart"/>
      <w:r w:rsidRPr="0038765C">
        <w:rPr>
          <w:rFonts w:ascii="华文仿宋" w:eastAsia="华文仿宋" w:hAnsi="华文仿宋" w:hint="eastAsia"/>
          <w:sz w:val="28"/>
          <w:szCs w:val="28"/>
        </w:rPr>
        <w:t>婆渡站</w:t>
      </w:r>
      <w:proofErr w:type="gramEnd"/>
      <w:r w:rsidRPr="0038765C">
        <w:rPr>
          <w:rFonts w:ascii="华文仿宋" w:eastAsia="华文仿宋" w:hAnsi="华文仿宋" w:hint="eastAsia"/>
          <w:sz w:val="28"/>
          <w:szCs w:val="28"/>
        </w:rPr>
        <w:t xml:space="preserve">为起点站，位于广德湖南路西侧26.5m宽绿化带中，沿广德湖南路南北向布置。车站周边为农田，北侧为横塘河。本站为地下两层岛式车站，站台宽度11m，站后设有折返线。车站总长325.25m，总建筑面积15110m2。车站共设置2组风亭、4个出入口、2个消防专用入口、1部无障碍电梯、1座冷却塔。 </w:t>
      </w:r>
    </w:p>
    <w:p w:rsidR="007111D6" w:rsidRPr="0038765C" w:rsidRDefault="007111D6" w:rsidP="007111D6">
      <w:pPr>
        <w:widowControl/>
        <w:spacing w:line="520" w:lineRule="exact"/>
        <w:rPr>
          <w:rFonts w:ascii="华文仿宋" w:eastAsia="华文仿宋" w:hAnsi="华文仿宋"/>
          <w:b/>
          <w:sz w:val="28"/>
          <w:szCs w:val="28"/>
        </w:rPr>
      </w:pPr>
      <w:r>
        <w:rPr>
          <w:rFonts w:ascii="华文仿宋" w:eastAsia="华文仿宋" w:hAnsi="华文仿宋" w:hint="eastAsia"/>
          <w:b/>
          <w:sz w:val="28"/>
          <w:szCs w:val="28"/>
        </w:rPr>
        <w:t>二、</w:t>
      </w:r>
      <w:r w:rsidRPr="0038765C">
        <w:rPr>
          <w:rFonts w:ascii="华文仿宋" w:eastAsia="华文仿宋" w:hAnsi="华文仿宋" w:hint="eastAsia"/>
          <w:b/>
          <w:sz w:val="28"/>
          <w:szCs w:val="28"/>
        </w:rPr>
        <w:t>南部商务区站：</w:t>
      </w: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1479550</wp:posOffset>
            </wp:positionV>
            <wp:extent cx="5277485" cy="1949450"/>
            <wp:effectExtent l="19050" t="0" r="0" b="0"/>
            <wp:wrapSquare wrapText="bothSides"/>
            <wp:docPr id="5" name="图片 2" descr="南部初步设计总图_t6（方案三）1副本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图片 23" descr="南部初步设计总图_t6（方案三）1副本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12201" t="9917" r="6688" b="5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765C">
        <w:rPr>
          <w:rFonts w:ascii="华文仿宋" w:eastAsia="华文仿宋" w:hAnsi="华文仿宋" w:hint="eastAsia"/>
          <w:sz w:val="28"/>
          <w:szCs w:val="28"/>
        </w:rPr>
        <w:t>南部商务区站位于天童南路与泰康中路交叉口，沿天童南路呈南北向布置，为地下二层岛式站台车站，长度为484.6m，站台宽度为11m，总建筑面积为22463.1㎡。车站设置4个出入口、1个紧急疏散出入口、2组共8个风亭、1组冷却塔。</w:t>
      </w:r>
    </w:p>
    <w:p w:rsidR="007111D6" w:rsidRPr="0038765C" w:rsidRDefault="007111D6" w:rsidP="007111D6">
      <w:pPr>
        <w:widowControl/>
        <w:spacing w:line="520" w:lineRule="exact"/>
        <w:rPr>
          <w:rFonts w:ascii="华文仿宋" w:eastAsia="华文仿宋" w:hAnsi="华文仿宋"/>
          <w:b/>
          <w:sz w:val="28"/>
          <w:szCs w:val="28"/>
        </w:rPr>
      </w:pPr>
      <w:r>
        <w:rPr>
          <w:rFonts w:ascii="华文仿宋" w:eastAsia="华文仿宋" w:hAnsi="华文仿宋" w:hint="eastAsia"/>
          <w:b/>
          <w:sz w:val="28"/>
          <w:szCs w:val="28"/>
        </w:rPr>
        <w:lastRenderedPageBreak/>
        <w:t>三、</w:t>
      </w:r>
      <w:r w:rsidRPr="0038765C">
        <w:rPr>
          <w:rFonts w:ascii="华文仿宋" w:eastAsia="华文仿宋" w:hAnsi="华文仿宋" w:hint="eastAsia"/>
          <w:b/>
          <w:sz w:val="28"/>
          <w:szCs w:val="28"/>
        </w:rPr>
        <w:t>永达路站：</w:t>
      </w: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  <w:r w:rsidRPr="0038765C">
        <w:rPr>
          <w:rFonts w:ascii="华文仿宋" w:eastAsia="华文仿宋" w:hAnsi="华文仿宋" w:hint="eastAsia"/>
          <w:sz w:val="28"/>
          <w:szCs w:val="28"/>
        </w:rPr>
        <w:t>永达路站临近永达路，位于永达路南侧地块内,沿东西向布置，为地下四层岛式站台车站。该站位所在地块现为厂房及门面店,车站东端地块为拆迁区。车站总长174m，总建筑面积15110m2。车站共设置有4个出入口、2组风亭、1个消防专用入口、1部无障碍电梯、1座冷却塔。</w:t>
      </w: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40617</wp:posOffset>
            </wp:positionH>
            <wp:positionV relativeFrom="paragraph">
              <wp:posOffset>106392</wp:posOffset>
            </wp:positionV>
            <wp:extent cx="5277568" cy="3674853"/>
            <wp:effectExtent l="19050" t="0" r="0" b="0"/>
            <wp:wrapNone/>
            <wp:docPr id="6" name="图片 3" descr="永达路总图 布局1 (1)副本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8" name="Picture 6" descr="永达路总图 布局1 (1)副本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894" t="9711" r="9543" b="15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568" cy="367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</w:p>
    <w:p w:rsidR="007111D6" w:rsidRPr="0038765C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</w:p>
    <w:p w:rsidR="007111D6" w:rsidRPr="0038765C" w:rsidRDefault="007111D6" w:rsidP="007111D6">
      <w:pPr>
        <w:widowControl/>
        <w:spacing w:line="520" w:lineRule="exact"/>
        <w:rPr>
          <w:rFonts w:ascii="华文仿宋" w:eastAsia="华文仿宋" w:hAnsi="华文仿宋"/>
          <w:b/>
          <w:sz w:val="28"/>
          <w:szCs w:val="28"/>
        </w:rPr>
      </w:pPr>
      <w:r>
        <w:rPr>
          <w:rFonts w:ascii="华文仿宋" w:eastAsia="华文仿宋" w:hAnsi="华文仿宋" w:hint="eastAsia"/>
          <w:b/>
          <w:sz w:val="28"/>
          <w:szCs w:val="28"/>
        </w:rPr>
        <w:t>四、</w:t>
      </w:r>
      <w:r w:rsidRPr="0038765C">
        <w:rPr>
          <w:rFonts w:ascii="华文仿宋" w:eastAsia="华文仿宋" w:hAnsi="华文仿宋" w:hint="eastAsia"/>
          <w:b/>
          <w:sz w:val="28"/>
          <w:szCs w:val="28"/>
        </w:rPr>
        <w:t>儿童乐园站：</w:t>
      </w: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  <w:r w:rsidRPr="0038765C">
        <w:rPr>
          <w:rFonts w:ascii="华文仿宋" w:eastAsia="华文仿宋" w:hAnsi="华文仿宋" w:hint="eastAsia"/>
          <w:sz w:val="28"/>
          <w:szCs w:val="28"/>
        </w:rPr>
        <w:t>儿童乐园站位于兴宁路与中兴路交叉口东侧儿童乐园内，为3号线与4号线的换乘车站。3号线站位位于兴宁路北侧，中兴路东侧地块内；4号线站位位于中兴路东侧，沿兴宁路东西向敷设。3号线车站为地下三层14m站台岛式车站，车站规模313mx22.9m(外包)，总建筑面积为49733 m2；4号线车站为地下二层14m站台岛式车站，车站规模490mx22.7m(外包)，总建筑面积为26918m2。 车站共设10个出入口，6组风亭（3、4号线各3组）。</w:t>
      </w: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-28395</wp:posOffset>
            </wp:positionH>
            <wp:positionV relativeFrom="paragraph">
              <wp:posOffset>94891</wp:posOffset>
            </wp:positionV>
            <wp:extent cx="5277569" cy="3493698"/>
            <wp:effectExtent l="19050" t="0" r="0" b="0"/>
            <wp:wrapNone/>
            <wp:docPr id="7" name="图片 4" descr="C:\Documents and Settings\002421\桌面\儿童乐园站总图6.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98" name="Picture 2" descr="C:\Documents and Settings\002421\桌面\儿童乐园站总图6.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348" t="4961" r="3714" b="1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569" cy="349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b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b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b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b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b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b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b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b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b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b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b/>
          <w:sz w:val="28"/>
          <w:szCs w:val="28"/>
        </w:rPr>
      </w:pPr>
    </w:p>
    <w:p w:rsidR="007111D6" w:rsidRPr="0038765C" w:rsidRDefault="007111D6" w:rsidP="007111D6">
      <w:pPr>
        <w:widowControl/>
        <w:spacing w:line="520" w:lineRule="exact"/>
        <w:rPr>
          <w:rFonts w:ascii="华文仿宋" w:eastAsia="华文仿宋" w:hAnsi="华文仿宋"/>
          <w:b/>
          <w:sz w:val="28"/>
          <w:szCs w:val="28"/>
        </w:rPr>
      </w:pPr>
      <w:r>
        <w:rPr>
          <w:rFonts w:ascii="华文仿宋" w:eastAsia="华文仿宋" w:hAnsi="华文仿宋" w:hint="eastAsia"/>
          <w:b/>
          <w:sz w:val="28"/>
          <w:szCs w:val="28"/>
        </w:rPr>
        <w:t>五、</w:t>
      </w:r>
      <w:r w:rsidRPr="0038765C">
        <w:rPr>
          <w:rFonts w:ascii="华文仿宋" w:eastAsia="华文仿宋" w:hAnsi="华文仿宋" w:hint="eastAsia"/>
          <w:b/>
          <w:sz w:val="28"/>
          <w:szCs w:val="28"/>
        </w:rPr>
        <w:t>万</w:t>
      </w:r>
      <w:proofErr w:type="gramStart"/>
      <w:r w:rsidRPr="0038765C">
        <w:rPr>
          <w:rFonts w:ascii="华文仿宋" w:eastAsia="华文仿宋" w:hAnsi="华文仿宋" w:hint="eastAsia"/>
          <w:b/>
          <w:sz w:val="28"/>
          <w:szCs w:val="28"/>
        </w:rPr>
        <w:t>达广场</w:t>
      </w:r>
      <w:proofErr w:type="gramEnd"/>
      <w:r w:rsidRPr="0038765C">
        <w:rPr>
          <w:rFonts w:ascii="华文仿宋" w:eastAsia="华文仿宋" w:hAnsi="华文仿宋" w:hint="eastAsia"/>
          <w:b/>
          <w:sz w:val="28"/>
          <w:szCs w:val="28"/>
        </w:rPr>
        <w:t>站~</w:t>
      </w:r>
      <w:proofErr w:type="gramStart"/>
      <w:r w:rsidRPr="0038765C">
        <w:rPr>
          <w:rFonts w:ascii="华文仿宋" w:eastAsia="华文仿宋" w:hAnsi="华文仿宋" w:hint="eastAsia"/>
          <w:b/>
          <w:sz w:val="28"/>
          <w:szCs w:val="28"/>
        </w:rPr>
        <w:t>锦寓路</w:t>
      </w:r>
      <w:proofErr w:type="gramEnd"/>
      <w:r w:rsidRPr="0038765C">
        <w:rPr>
          <w:rFonts w:ascii="华文仿宋" w:eastAsia="华文仿宋" w:hAnsi="华文仿宋" w:hint="eastAsia"/>
          <w:b/>
          <w:sz w:val="28"/>
          <w:szCs w:val="28"/>
        </w:rPr>
        <w:t>站~麦德龙站区间：</w:t>
      </w: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  <w:r w:rsidRPr="007111D6">
        <w:rPr>
          <w:rFonts w:ascii="华文仿宋" w:eastAsia="华文仿宋" w:hAnsi="华文仿宋"/>
          <w:sz w:val="28"/>
          <w:szCs w:val="28"/>
        </w:rPr>
        <w:t>万达广场</w:t>
      </w:r>
      <w:r w:rsidR="007E13F0" w:rsidRPr="007111D6">
        <w:rPr>
          <w:rFonts w:ascii="华文仿宋" w:eastAsia="华文仿宋" w:hAnsi="华文仿宋"/>
          <w:sz w:val="28"/>
          <w:szCs w:val="28"/>
        </w:rPr>
        <w:t>站</w:t>
      </w:r>
      <w:r w:rsidRPr="007111D6">
        <w:rPr>
          <w:rFonts w:ascii="华文仿宋" w:eastAsia="华文仿宋" w:hAnsi="华文仿宋"/>
          <w:sz w:val="28"/>
          <w:szCs w:val="28"/>
        </w:rPr>
        <w:t xml:space="preserve">位于天童北路、四明路交叉口西北象限现状绿地一侧。车站设置为地下二层11米岛式车站。车站规模279.1mx19.7m(外包)，总建筑面积为12989 m2，车站设3个出入口，分别沿天童北路两侧布置。车站两端设置2组风亭，均设于公共绿地内。 </w:t>
      </w: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165735</wp:posOffset>
            </wp:positionV>
            <wp:extent cx="5277485" cy="2475230"/>
            <wp:effectExtent l="19050" t="0" r="0" b="0"/>
            <wp:wrapNone/>
            <wp:docPr id="8" name="图片 5" descr="北侧绿地方案总图4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6" name="图片 21" descr="北侧绿地方案总图4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901" t="3181" r="1962" b="4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247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</w:p>
    <w:p w:rsidR="007111D6" w:rsidRP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  <w:r w:rsidRPr="0038765C">
        <w:rPr>
          <w:rFonts w:ascii="华文仿宋" w:eastAsia="华文仿宋" w:hAnsi="华文仿宋"/>
          <w:sz w:val="28"/>
          <w:szCs w:val="28"/>
        </w:rPr>
        <w:lastRenderedPageBreak/>
        <w:t>万达广场站～</w:t>
      </w:r>
      <w:proofErr w:type="gramStart"/>
      <w:r w:rsidRPr="0038765C">
        <w:rPr>
          <w:rFonts w:ascii="华文仿宋" w:eastAsia="华文仿宋" w:hAnsi="华文仿宋"/>
          <w:sz w:val="28"/>
          <w:szCs w:val="28"/>
        </w:rPr>
        <w:t>锦寓路</w:t>
      </w:r>
      <w:proofErr w:type="gramEnd"/>
      <w:r w:rsidRPr="0038765C">
        <w:rPr>
          <w:rFonts w:ascii="华文仿宋" w:eastAsia="华文仿宋" w:hAnsi="华文仿宋"/>
          <w:sz w:val="28"/>
          <w:szCs w:val="28"/>
        </w:rPr>
        <w:t>站区间起讫里程为YCK10+164.111~ YCK10+862.700，全长698.589m，本区间线路出万达广场站后，沿天童北路西侧敷设，</w:t>
      </w:r>
      <w:proofErr w:type="gramStart"/>
      <w:r w:rsidRPr="0038765C">
        <w:rPr>
          <w:rFonts w:ascii="华文仿宋" w:eastAsia="华文仿宋" w:hAnsi="华文仿宋"/>
          <w:sz w:val="28"/>
          <w:szCs w:val="28"/>
        </w:rPr>
        <w:t>侧穿庙</w:t>
      </w:r>
      <w:proofErr w:type="gramEnd"/>
      <w:r w:rsidRPr="0038765C">
        <w:rPr>
          <w:rFonts w:ascii="华文仿宋" w:eastAsia="华文仿宋" w:hAnsi="华文仿宋"/>
          <w:sz w:val="28"/>
          <w:szCs w:val="28"/>
        </w:rPr>
        <w:t>东桥、宁兴花园以及和</w:t>
      </w:r>
      <w:proofErr w:type="gramStart"/>
      <w:r w:rsidRPr="0038765C">
        <w:rPr>
          <w:rFonts w:ascii="华文仿宋" w:eastAsia="华文仿宋" w:hAnsi="华文仿宋"/>
          <w:sz w:val="28"/>
          <w:szCs w:val="28"/>
        </w:rPr>
        <w:t>邦</w:t>
      </w:r>
      <w:proofErr w:type="gramEnd"/>
      <w:r w:rsidRPr="0038765C">
        <w:rPr>
          <w:rFonts w:ascii="华文仿宋" w:eastAsia="华文仿宋" w:hAnsi="华文仿宋"/>
          <w:sz w:val="28"/>
          <w:szCs w:val="28"/>
        </w:rPr>
        <w:t>大厦后，转至</w:t>
      </w:r>
      <w:proofErr w:type="gramStart"/>
      <w:r w:rsidRPr="0038765C">
        <w:rPr>
          <w:rFonts w:ascii="华文仿宋" w:eastAsia="华文仿宋" w:hAnsi="华文仿宋"/>
          <w:sz w:val="28"/>
          <w:szCs w:val="28"/>
        </w:rPr>
        <w:t>嵩</w:t>
      </w:r>
      <w:proofErr w:type="gramEnd"/>
      <w:r w:rsidRPr="0038765C">
        <w:rPr>
          <w:rFonts w:ascii="华文仿宋" w:eastAsia="华文仿宋" w:hAnsi="华文仿宋"/>
          <w:sz w:val="28"/>
          <w:szCs w:val="28"/>
        </w:rPr>
        <w:t>江中路</w:t>
      </w:r>
      <w:proofErr w:type="gramStart"/>
      <w:r w:rsidRPr="0038765C">
        <w:rPr>
          <w:rFonts w:ascii="华文仿宋" w:eastAsia="华文仿宋" w:hAnsi="华文仿宋"/>
          <w:sz w:val="28"/>
          <w:szCs w:val="28"/>
        </w:rPr>
        <w:t>设锦寓路</w:t>
      </w:r>
      <w:proofErr w:type="gramEnd"/>
      <w:r w:rsidRPr="0038765C">
        <w:rPr>
          <w:rFonts w:ascii="华文仿宋" w:eastAsia="华文仿宋" w:hAnsi="华文仿宋"/>
          <w:sz w:val="28"/>
          <w:szCs w:val="28"/>
        </w:rPr>
        <w:t>站。</w:t>
      </w:r>
      <w:r w:rsidRPr="0038765C">
        <w:rPr>
          <w:rFonts w:ascii="华文仿宋" w:eastAsia="华文仿宋" w:hAnsi="华文仿宋" w:hint="eastAsia"/>
          <w:sz w:val="28"/>
          <w:szCs w:val="28"/>
        </w:rPr>
        <w:t>本区间采用盾构法施工，设置联络通道（废水泵房）一座。</w:t>
      </w: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91440</wp:posOffset>
            </wp:positionV>
            <wp:extent cx="5277485" cy="2371725"/>
            <wp:effectExtent l="19050" t="0" r="0" b="0"/>
            <wp:wrapNone/>
            <wp:docPr id="11" name="图片 8" descr="3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 descr="3-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1D6" w:rsidRPr="0038765C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 w:cs="Times New Roman"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 w:cs="Times New Roman"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 w:cs="Times New Roman"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 w:cs="Times New Roman"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 w:cs="Times New Roman"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 w:cs="Times New Roman"/>
          <w:sz w:val="28"/>
          <w:szCs w:val="28"/>
        </w:rPr>
      </w:pPr>
    </w:p>
    <w:p w:rsidR="007111D6" w:rsidRPr="0038765C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 w:cs="Times New Roman"/>
          <w:sz w:val="28"/>
          <w:szCs w:val="28"/>
        </w:rPr>
      </w:pPr>
      <w:proofErr w:type="gramStart"/>
      <w:r w:rsidRPr="0038765C">
        <w:rPr>
          <w:rFonts w:ascii="华文仿宋" w:eastAsia="华文仿宋" w:hAnsi="华文仿宋" w:cs="Times New Roman" w:hint="eastAsia"/>
          <w:sz w:val="28"/>
          <w:szCs w:val="28"/>
        </w:rPr>
        <w:t>锦寓路</w:t>
      </w:r>
      <w:proofErr w:type="gramEnd"/>
      <w:r w:rsidRPr="0038765C">
        <w:rPr>
          <w:rFonts w:ascii="华文仿宋" w:eastAsia="华文仿宋" w:hAnsi="华文仿宋" w:cs="Times New Roman" w:hint="eastAsia"/>
          <w:sz w:val="28"/>
          <w:szCs w:val="28"/>
        </w:rPr>
        <w:t>站车站位于</w:t>
      </w:r>
      <w:proofErr w:type="gramStart"/>
      <w:r w:rsidRPr="0038765C">
        <w:rPr>
          <w:rFonts w:ascii="华文仿宋" w:eastAsia="华文仿宋" w:hAnsi="华文仿宋" w:cs="Times New Roman" w:hint="eastAsia"/>
          <w:sz w:val="28"/>
          <w:szCs w:val="28"/>
        </w:rPr>
        <w:t>嵩</w:t>
      </w:r>
      <w:proofErr w:type="gramEnd"/>
      <w:r w:rsidRPr="0038765C">
        <w:rPr>
          <w:rFonts w:ascii="华文仿宋" w:eastAsia="华文仿宋" w:hAnsi="华文仿宋" w:cs="Times New Roman" w:hint="eastAsia"/>
          <w:sz w:val="28"/>
          <w:szCs w:val="28"/>
        </w:rPr>
        <w:t>江中路、</w:t>
      </w:r>
      <w:proofErr w:type="gramStart"/>
      <w:r w:rsidRPr="0038765C">
        <w:rPr>
          <w:rFonts w:ascii="华文仿宋" w:eastAsia="华文仿宋" w:hAnsi="华文仿宋" w:cs="Times New Roman" w:hint="eastAsia"/>
          <w:sz w:val="28"/>
          <w:szCs w:val="28"/>
        </w:rPr>
        <w:t>锦寓路</w:t>
      </w:r>
      <w:proofErr w:type="gramEnd"/>
      <w:r w:rsidRPr="0038765C">
        <w:rPr>
          <w:rFonts w:ascii="华文仿宋" w:eastAsia="华文仿宋" w:hAnsi="华文仿宋" w:cs="Times New Roman" w:hint="eastAsia"/>
          <w:sz w:val="28"/>
          <w:szCs w:val="28"/>
        </w:rPr>
        <w:t>交叉口南侧。车站设置为地下二层11米标准岛式车站。车站规模173.2mx19.7m(外包)，总建筑面积为10436 m2，车站设3个出入口，分别沿</w:t>
      </w:r>
      <w:proofErr w:type="gramStart"/>
      <w:r w:rsidRPr="0038765C">
        <w:rPr>
          <w:rFonts w:ascii="华文仿宋" w:eastAsia="华文仿宋" w:hAnsi="华文仿宋" w:cs="Times New Roman" w:hint="eastAsia"/>
          <w:sz w:val="28"/>
          <w:szCs w:val="28"/>
        </w:rPr>
        <w:t>嵩</w:t>
      </w:r>
      <w:proofErr w:type="gramEnd"/>
      <w:r w:rsidRPr="0038765C">
        <w:rPr>
          <w:rFonts w:ascii="华文仿宋" w:eastAsia="华文仿宋" w:hAnsi="华文仿宋" w:cs="Times New Roman" w:hint="eastAsia"/>
          <w:sz w:val="28"/>
          <w:szCs w:val="28"/>
        </w:rPr>
        <w:t>江中路两侧布置。车站两端设置2组风亭，设于嵩江中路南侧。</w:t>
      </w: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6110</wp:posOffset>
            </wp:positionH>
            <wp:positionV relativeFrom="paragraph">
              <wp:posOffset>261189</wp:posOffset>
            </wp:positionV>
            <wp:extent cx="5277569" cy="2863969"/>
            <wp:effectExtent l="19050" t="0" r="0" b="0"/>
            <wp:wrapNone/>
            <wp:docPr id="12" name="图片 9" descr="C:\Documents and Settings\002421\桌面\锦寓路总图绿地副本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C:\Documents and Settings\002421\桌面\锦寓路总图绿地副本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061" t="12337" r="3111" b="1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569" cy="286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  <w:proofErr w:type="gramStart"/>
      <w:r>
        <w:rPr>
          <w:rFonts w:ascii="华文仿宋" w:eastAsia="华文仿宋" w:hAnsi="华文仿宋" w:hint="eastAsia"/>
          <w:sz w:val="28"/>
          <w:szCs w:val="28"/>
        </w:rPr>
        <w:lastRenderedPageBreak/>
        <w:t>锦寓路</w:t>
      </w:r>
      <w:proofErr w:type="gramEnd"/>
      <w:r>
        <w:rPr>
          <w:rFonts w:ascii="华文仿宋" w:eastAsia="华文仿宋" w:hAnsi="华文仿宋" w:hint="eastAsia"/>
          <w:sz w:val="28"/>
          <w:szCs w:val="28"/>
        </w:rPr>
        <w:t>站~麦德龙站区间</w:t>
      </w:r>
      <w:r w:rsidRPr="0038765C">
        <w:rPr>
          <w:rFonts w:ascii="华文仿宋" w:eastAsia="华文仿宋" w:hAnsi="华文仿宋"/>
          <w:sz w:val="28"/>
          <w:szCs w:val="28"/>
        </w:rPr>
        <w:t>起讫里程为YCK11+035.900</w:t>
      </w:r>
      <w:r w:rsidRPr="0038765C">
        <w:rPr>
          <w:rFonts w:ascii="华文仿宋" w:eastAsia="华文仿宋" w:hAnsi="华文仿宋" w:hint="eastAsia"/>
          <w:sz w:val="28"/>
          <w:szCs w:val="28"/>
        </w:rPr>
        <w:t>~</w:t>
      </w:r>
      <w:r w:rsidRPr="0038765C">
        <w:rPr>
          <w:rFonts w:ascii="华文仿宋" w:eastAsia="华文仿宋" w:hAnsi="华文仿宋"/>
          <w:sz w:val="28"/>
          <w:szCs w:val="28"/>
        </w:rPr>
        <w:t xml:space="preserve"> </w:t>
      </w:r>
      <w:r w:rsidRPr="0038765C">
        <w:rPr>
          <w:rFonts w:ascii="华文仿宋" w:eastAsia="华文仿宋" w:hAnsi="华文仿宋" w:hint="eastAsia"/>
          <w:sz w:val="28"/>
          <w:szCs w:val="28"/>
        </w:rPr>
        <w:t>YCK11+782.853，全长</w:t>
      </w:r>
      <w:r w:rsidRPr="0038765C">
        <w:rPr>
          <w:rFonts w:ascii="华文仿宋" w:eastAsia="华文仿宋" w:hAnsi="华文仿宋"/>
          <w:sz w:val="28"/>
          <w:szCs w:val="28"/>
        </w:rPr>
        <w:t>746.953</w:t>
      </w:r>
      <w:r w:rsidRPr="0038765C">
        <w:rPr>
          <w:rFonts w:ascii="华文仿宋" w:eastAsia="华文仿宋" w:hAnsi="华文仿宋" w:hint="eastAsia"/>
          <w:sz w:val="28"/>
          <w:szCs w:val="28"/>
        </w:rPr>
        <w:t>m，本区间线路出</w:t>
      </w:r>
      <w:proofErr w:type="gramStart"/>
      <w:r w:rsidRPr="0038765C">
        <w:rPr>
          <w:rFonts w:ascii="华文仿宋" w:eastAsia="华文仿宋" w:hAnsi="华文仿宋" w:hint="eastAsia"/>
          <w:sz w:val="28"/>
          <w:szCs w:val="28"/>
        </w:rPr>
        <w:t>锦寓路</w:t>
      </w:r>
      <w:proofErr w:type="gramEnd"/>
      <w:r w:rsidRPr="0038765C">
        <w:rPr>
          <w:rFonts w:ascii="华文仿宋" w:eastAsia="华文仿宋" w:hAnsi="华文仿宋" w:hint="eastAsia"/>
          <w:sz w:val="28"/>
          <w:szCs w:val="28"/>
        </w:rPr>
        <w:t>站，线路走行在</w:t>
      </w:r>
      <w:proofErr w:type="gramStart"/>
      <w:r w:rsidRPr="0038765C">
        <w:rPr>
          <w:rFonts w:ascii="华文仿宋" w:eastAsia="华文仿宋" w:hAnsi="华文仿宋" w:hint="eastAsia"/>
          <w:sz w:val="28"/>
          <w:szCs w:val="28"/>
        </w:rPr>
        <w:t>嵩</w:t>
      </w:r>
      <w:proofErr w:type="gramEnd"/>
      <w:r w:rsidRPr="0038765C">
        <w:rPr>
          <w:rFonts w:ascii="华文仿宋" w:eastAsia="华文仿宋" w:hAnsi="华文仿宋" w:hint="eastAsia"/>
          <w:sz w:val="28"/>
          <w:szCs w:val="28"/>
        </w:rPr>
        <w:t>江中路下，向东经</w:t>
      </w:r>
      <w:proofErr w:type="gramStart"/>
      <w:r w:rsidRPr="0038765C">
        <w:rPr>
          <w:rFonts w:ascii="华文仿宋" w:eastAsia="华文仿宋" w:hAnsi="华文仿宋" w:hint="eastAsia"/>
          <w:sz w:val="28"/>
          <w:szCs w:val="28"/>
        </w:rPr>
        <w:t>锦寓路</w:t>
      </w:r>
      <w:proofErr w:type="gramEnd"/>
      <w:r w:rsidRPr="0038765C">
        <w:rPr>
          <w:rFonts w:ascii="华文仿宋" w:eastAsia="华文仿宋" w:hAnsi="华文仿宋" w:hint="eastAsia"/>
          <w:sz w:val="28"/>
          <w:szCs w:val="28"/>
        </w:rPr>
        <w:t>，下穿</w:t>
      </w:r>
      <w:proofErr w:type="gramStart"/>
      <w:r w:rsidRPr="0038765C">
        <w:rPr>
          <w:rFonts w:ascii="华文仿宋" w:eastAsia="华文仿宋" w:hAnsi="华文仿宋" w:hint="eastAsia"/>
          <w:sz w:val="28"/>
          <w:szCs w:val="28"/>
        </w:rPr>
        <w:t>冯</w:t>
      </w:r>
      <w:proofErr w:type="gramEnd"/>
      <w:r w:rsidRPr="0038765C">
        <w:rPr>
          <w:rFonts w:ascii="华文仿宋" w:eastAsia="华文仿宋" w:hAnsi="华文仿宋" w:hint="eastAsia"/>
          <w:sz w:val="28"/>
          <w:szCs w:val="28"/>
        </w:rPr>
        <w:t>江岸桥，继续向东经前河北路、中</w:t>
      </w:r>
      <w:proofErr w:type="gramStart"/>
      <w:r w:rsidRPr="0038765C">
        <w:rPr>
          <w:rFonts w:ascii="华文仿宋" w:eastAsia="华文仿宋" w:hAnsi="华文仿宋" w:hint="eastAsia"/>
          <w:sz w:val="28"/>
          <w:szCs w:val="28"/>
        </w:rPr>
        <w:t>萃</w:t>
      </w:r>
      <w:proofErr w:type="gramEnd"/>
      <w:r w:rsidRPr="0038765C">
        <w:rPr>
          <w:rFonts w:ascii="华文仿宋" w:eastAsia="华文仿宋" w:hAnsi="华文仿宋" w:hint="eastAsia"/>
          <w:sz w:val="28"/>
          <w:szCs w:val="28"/>
        </w:rPr>
        <w:t>路，</w:t>
      </w:r>
      <w:proofErr w:type="gramStart"/>
      <w:r w:rsidRPr="0038765C">
        <w:rPr>
          <w:rFonts w:ascii="华文仿宋" w:eastAsia="华文仿宋" w:hAnsi="华文仿宋" w:hint="eastAsia"/>
          <w:sz w:val="28"/>
          <w:szCs w:val="28"/>
        </w:rPr>
        <w:t>侧穿前塘</w:t>
      </w:r>
      <w:proofErr w:type="gramEnd"/>
      <w:r w:rsidRPr="0038765C">
        <w:rPr>
          <w:rFonts w:ascii="华文仿宋" w:eastAsia="华文仿宋" w:hAnsi="华文仿宋" w:hint="eastAsia"/>
          <w:sz w:val="28"/>
          <w:szCs w:val="28"/>
        </w:rPr>
        <w:t>河桥后进入前塘河，到达麦德龙站</w:t>
      </w:r>
      <w:proofErr w:type="gramStart"/>
      <w:r w:rsidRPr="0038765C">
        <w:rPr>
          <w:rFonts w:ascii="华文仿宋" w:eastAsia="华文仿宋" w:hAnsi="华文仿宋" w:hint="eastAsia"/>
          <w:sz w:val="28"/>
          <w:szCs w:val="28"/>
        </w:rPr>
        <w:t>西端头井</w:t>
      </w:r>
      <w:proofErr w:type="gramEnd"/>
      <w:r w:rsidRPr="0038765C">
        <w:rPr>
          <w:rFonts w:ascii="华文仿宋" w:eastAsia="华文仿宋" w:hAnsi="华文仿宋" w:hint="eastAsia"/>
          <w:sz w:val="28"/>
          <w:szCs w:val="28"/>
        </w:rPr>
        <w:t>。本区间采用盾构法施工，设置联络通道（废水泵房）一座。</w:t>
      </w: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216535</wp:posOffset>
            </wp:positionV>
            <wp:extent cx="5276850" cy="1586865"/>
            <wp:effectExtent l="19050" t="0" r="0" b="0"/>
            <wp:wrapNone/>
            <wp:docPr id="9" name="图片 6" descr="E:\彭磊\宁波\宁波三号线\5 初步设计\汇报材料\初步设计预演\PS\锦麦区间\01 锦寓路站~麦德龙站区间总平面图副本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50" name="Picture 2" descr="E:\彭磊\宁波\宁波三号线\5 初步设计\汇报材料\初步设计预演\PS\锦麦区间\01 锦寓路站~麦德龙站区间总平面图副本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58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</w:p>
    <w:p w:rsidR="007111D6" w:rsidRPr="0038765C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 w:cs="Times New Roman"/>
          <w:sz w:val="28"/>
          <w:szCs w:val="28"/>
        </w:rPr>
      </w:pPr>
      <w:r w:rsidRPr="0038765C">
        <w:rPr>
          <w:rFonts w:ascii="华文仿宋" w:eastAsia="华文仿宋" w:hAnsi="华文仿宋" w:cs="Times New Roman" w:hint="eastAsia"/>
          <w:sz w:val="28"/>
          <w:szCs w:val="28"/>
        </w:rPr>
        <w:t>麦德龙站位于车站位于</w:t>
      </w:r>
      <w:proofErr w:type="gramStart"/>
      <w:r w:rsidRPr="0038765C">
        <w:rPr>
          <w:rFonts w:ascii="华文仿宋" w:eastAsia="华文仿宋" w:hAnsi="华文仿宋" w:cs="Times New Roman" w:hint="eastAsia"/>
          <w:sz w:val="28"/>
          <w:szCs w:val="28"/>
        </w:rPr>
        <w:t>嵩</w:t>
      </w:r>
      <w:proofErr w:type="gramEnd"/>
      <w:r w:rsidRPr="0038765C">
        <w:rPr>
          <w:rFonts w:ascii="华文仿宋" w:eastAsia="华文仿宋" w:hAnsi="华文仿宋" w:cs="Times New Roman" w:hint="eastAsia"/>
          <w:sz w:val="28"/>
          <w:szCs w:val="28"/>
        </w:rPr>
        <w:t>江中路、钱湖北路交叉口永泰公园西北侧的钱塘河道下方，车站设置为地下二层11米岛式车站。车站规模198mx19.7m(外包)，总建筑面积为11374 m2，车站设置4个出入口（其中2个出入口预留），分别设置于钱湖北路和</w:t>
      </w:r>
      <w:proofErr w:type="gramStart"/>
      <w:r w:rsidRPr="0038765C">
        <w:rPr>
          <w:rFonts w:ascii="华文仿宋" w:eastAsia="华文仿宋" w:hAnsi="华文仿宋" w:cs="Times New Roman" w:hint="eastAsia"/>
          <w:sz w:val="28"/>
          <w:szCs w:val="28"/>
        </w:rPr>
        <w:t>嵩</w:t>
      </w:r>
      <w:proofErr w:type="gramEnd"/>
      <w:r w:rsidRPr="0038765C">
        <w:rPr>
          <w:rFonts w:ascii="华文仿宋" w:eastAsia="华文仿宋" w:hAnsi="华文仿宋" w:cs="Times New Roman" w:hint="eastAsia"/>
          <w:sz w:val="28"/>
          <w:szCs w:val="28"/>
        </w:rPr>
        <w:t>江中路两侧；2组风</w:t>
      </w:r>
      <w:proofErr w:type="gramStart"/>
      <w:r w:rsidRPr="0038765C">
        <w:rPr>
          <w:rFonts w:ascii="华文仿宋" w:eastAsia="华文仿宋" w:hAnsi="华文仿宋" w:cs="Times New Roman" w:hint="eastAsia"/>
          <w:sz w:val="28"/>
          <w:szCs w:val="28"/>
        </w:rPr>
        <w:t>亭分别</w:t>
      </w:r>
      <w:proofErr w:type="gramEnd"/>
      <w:r w:rsidRPr="0038765C">
        <w:rPr>
          <w:rFonts w:ascii="华文仿宋" w:eastAsia="华文仿宋" w:hAnsi="华文仿宋" w:cs="Times New Roman" w:hint="eastAsia"/>
          <w:sz w:val="28"/>
          <w:szCs w:val="28"/>
        </w:rPr>
        <w:t>布置于钱湖北路和</w:t>
      </w:r>
      <w:proofErr w:type="gramStart"/>
      <w:r w:rsidRPr="0038765C">
        <w:rPr>
          <w:rFonts w:ascii="华文仿宋" w:eastAsia="华文仿宋" w:hAnsi="华文仿宋" w:cs="Times New Roman" w:hint="eastAsia"/>
          <w:sz w:val="28"/>
          <w:szCs w:val="28"/>
        </w:rPr>
        <w:t>嵩</w:t>
      </w:r>
      <w:proofErr w:type="gramEnd"/>
      <w:r w:rsidRPr="0038765C">
        <w:rPr>
          <w:rFonts w:ascii="华文仿宋" w:eastAsia="华文仿宋" w:hAnsi="华文仿宋" w:cs="Times New Roman" w:hint="eastAsia"/>
          <w:sz w:val="28"/>
          <w:szCs w:val="28"/>
        </w:rPr>
        <w:t>江中路两侧。</w:t>
      </w: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 w:cs="Times New Roman"/>
          <w:sz w:val="28"/>
          <w:szCs w:val="28"/>
        </w:rPr>
      </w:pPr>
      <w:r>
        <w:rPr>
          <w:rFonts w:ascii="华文仿宋" w:eastAsia="华文仿宋" w:hAnsi="华文仿宋" w:cs="Times New Roman" w:hint="eastAsia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14737</wp:posOffset>
            </wp:positionH>
            <wp:positionV relativeFrom="paragraph">
              <wp:posOffset>306717</wp:posOffset>
            </wp:positionV>
            <wp:extent cx="5277569" cy="3010619"/>
            <wp:effectExtent l="19050" t="0" r="0" b="0"/>
            <wp:wrapNone/>
            <wp:docPr id="13" name="图片 10" descr="01副本8.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4" name="图片 22" descr="01副本8.14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l="7095" t="10217" r="2344" b="15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569" cy="301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 w:cs="Times New Roman"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 w:cs="Times New Roman"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 w:cs="Times New Roman"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 w:cs="Times New Roman"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 w:cs="Times New Roman"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 w:cs="Times New Roman"/>
          <w:sz w:val="28"/>
          <w:szCs w:val="28"/>
        </w:rPr>
      </w:pPr>
    </w:p>
    <w:p w:rsidR="007111D6" w:rsidRPr="0038765C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 w:cs="Times New Roman"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b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b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b/>
          <w:sz w:val="28"/>
          <w:szCs w:val="28"/>
        </w:rPr>
        <w:lastRenderedPageBreak/>
        <w:t>六、</w:t>
      </w:r>
      <w:r w:rsidRPr="0038765C">
        <w:rPr>
          <w:rFonts w:ascii="华文仿宋" w:eastAsia="华文仿宋" w:hAnsi="华文仿宋" w:hint="eastAsia"/>
          <w:b/>
          <w:sz w:val="28"/>
          <w:szCs w:val="28"/>
        </w:rPr>
        <w:t>麦德龙站~永达路站~儿童乐园站区间：</w:t>
      </w: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  <w:r w:rsidRPr="0038765C">
        <w:rPr>
          <w:rFonts w:ascii="华文仿宋" w:eastAsia="华文仿宋" w:hAnsi="华文仿宋" w:hint="eastAsia"/>
          <w:sz w:val="28"/>
          <w:szCs w:val="28"/>
        </w:rPr>
        <w:t>麦德龙站～永达路站区间起点里程YCK11+983.200，终点里程YCK13+240.993,本区间设计长度1257.793 m(双线)，均为地下线路，设有两座联络通道。本区间线路出麦德龙站，线路走行在前塘河下方，下穿叶园桥，东湖花园2#桥、东湖花园1#桥，下穿杭甬高速、环城南路高架及宁波世纪汽车城房屋后到达永达路站。本区间采用盾构法施工，设置联络通道（废水泵房）两座。</w:t>
      </w:r>
    </w:p>
    <w:p w:rsidR="007111D6" w:rsidRPr="0038765C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  <w:r w:rsidRPr="007111D6">
        <w:rPr>
          <w:rFonts w:ascii="华文仿宋" w:eastAsia="华文仿宋" w:hAnsi="华文仿宋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144133</wp:posOffset>
            </wp:positionH>
            <wp:positionV relativeFrom="paragraph">
              <wp:posOffset>37381</wp:posOffset>
            </wp:positionV>
            <wp:extent cx="5276299" cy="1613140"/>
            <wp:effectExtent l="19050" t="0" r="551" b="0"/>
            <wp:wrapNone/>
            <wp:docPr id="10" name="图片 7" descr="E:\工作文件2\3号线\初步设计\区间初步设计\9月14日提资\9月17号汇报ppt\麦~永区间总平面图 拷贝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67" name="Picture 18" descr="E:\工作文件2\3号线\初步设计\区间初步设计\9月14日提资\9月17号汇报ppt\麦~永区间总平面图 拷贝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075" t="11777" r="46709" b="17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99" cy="161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 w:cs="Times New Roman"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 w:cs="Times New Roman"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 w:cs="Times New Roman"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 w:cs="Times New Roman"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 w:cs="Times New Roman"/>
          <w:sz w:val="28"/>
          <w:szCs w:val="28"/>
        </w:rPr>
      </w:pPr>
      <w:r>
        <w:rPr>
          <w:rFonts w:ascii="华文仿宋" w:eastAsia="华文仿宋" w:hAnsi="华文仿宋" w:cs="Times New Roman" w:hint="eastAsia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91440</wp:posOffset>
            </wp:positionV>
            <wp:extent cx="5276215" cy="1759585"/>
            <wp:effectExtent l="19050" t="0" r="635" b="0"/>
            <wp:wrapNone/>
            <wp:docPr id="14" name="图片 11" descr="E:\工作文件2\3号线\初步设计\区间初步设计\9月14日提资\9月17号汇报ppt\麦~永区间总平面图 拷贝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66" name="Picture 18" descr="E:\工作文件2\3号线\初步设计\区间初步设计\9月14日提资\9月17号汇报ppt\麦~永区间总平面图 拷贝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7386" t="4735" r="1624" b="17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 w:cs="Times New Roman"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 w:cs="Times New Roman"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 w:cs="Times New Roman"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 w:cs="Times New Roman"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 w:cs="Times New Roman"/>
          <w:sz w:val="28"/>
          <w:szCs w:val="28"/>
        </w:rPr>
      </w:pPr>
    </w:p>
    <w:p w:rsidR="007111D6" w:rsidRPr="0038765C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 w:cs="Times New Roman"/>
          <w:sz w:val="28"/>
          <w:szCs w:val="28"/>
        </w:rPr>
      </w:pPr>
      <w:r w:rsidRPr="0038765C">
        <w:rPr>
          <w:rFonts w:ascii="华文仿宋" w:eastAsia="华文仿宋" w:hAnsi="华文仿宋" w:cs="Times New Roman" w:hint="eastAsia"/>
          <w:sz w:val="28"/>
          <w:szCs w:val="28"/>
        </w:rPr>
        <w:t>永达路站临近永达路，位于永达路南侧地块内,沿东西向布置，为地下四层岛式站台车站。该站位所在地块现为厂房及门面店,车站东端地块为拆迁区。车站总长174m，总建筑面积16060m2。车站共设置有4个出入口、2组风亭、1个消防专用入口、1部无障碍电梯、1座冷却塔。</w:t>
      </w: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  <w:r w:rsidRPr="0038765C">
        <w:rPr>
          <w:rFonts w:ascii="华文仿宋" w:eastAsia="华文仿宋" w:hAnsi="华文仿宋" w:hint="eastAsia"/>
          <w:sz w:val="28"/>
          <w:szCs w:val="28"/>
        </w:rPr>
        <w:t>永达路站～儿童乐园站起点里程YCK13+415.002，终点里程YCK14+220.100,本区间设计长度805.098m(双线)，均为地下线路，设有一座联络通道兼废水泵房。本区间</w:t>
      </w:r>
      <w:proofErr w:type="gramStart"/>
      <w:r w:rsidRPr="0038765C">
        <w:rPr>
          <w:rFonts w:ascii="华文仿宋" w:eastAsia="华文仿宋" w:hAnsi="华文仿宋" w:hint="eastAsia"/>
          <w:sz w:val="28"/>
          <w:szCs w:val="28"/>
        </w:rPr>
        <w:t>线路出永达</w:t>
      </w:r>
      <w:proofErr w:type="gramEnd"/>
      <w:r w:rsidRPr="0038765C">
        <w:rPr>
          <w:rFonts w:ascii="华文仿宋" w:eastAsia="华文仿宋" w:hAnsi="华文仿宋" w:hint="eastAsia"/>
          <w:sz w:val="28"/>
          <w:szCs w:val="28"/>
        </w:rPr>
        <w:t>路站后向北，下穿仇</w:t>
      </w:r>
      <w:r w:rsidRPr="0038765C">
        <w:rPr>
          <w:rFonts w:ascii="华文仿宋" w:eastAsia="华文仿宋" w:hAnsi="华文仿宋" w:hint="eastAsia"/>
          <w:sz w:val="28"/>
          <w:szCs w:val="28"/>
        </w:rPr>
        <w:lastRenderedPageBreak/>
        <w:t>家新村、宁波现代机电物资市场，杭甬铁路，向北下穿现代市场板材地板城、后盛村、</w:t>
      </w:r>
      <w:proofErr w:type="gramStart"/>
      <w:r w:rsidRPr="0038765C">
        <w:rPr>
          <w:rFonts w:ascii="华文仿宋" w:eastAsia="华文仿宋" w:hAnsi="华文仿宋" w:hint="eastAsia"/>
          <w:sz w:val="28"/>
          <w:szCs w:val="28"/>
        </w:rPr>
        <w:t>甬南纸业</w:t>
      </w:r>
      <w:proofErr w:type="gramEnd"/>
      <w:r w:rsidRPr="0038765C">
        <w:rPr>
          <w:rFonts w:ascii="华文仿宋" w:eastAsia="华文仿宋" w:hAnsi="华文仿宋" w:hint="eastAsia"/>
          <w:sz w:val="28"/>
          <w:szCs w:val="28"/>
        </w:rPr>
        <w:t>及东柳商务楼后到达儿童乐园站。本区间采用盾构法施工，设置联络通道（废水泵房）一座。</w:t>
      </w: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133709</wp:posOffset>
            </wp:positionH>
            <wp:positionV relativeFrom="paragraph">
              <wp:posOffset>208472</wp:posOffset>
            </wp:positionV>
            <wp:extent cx="5279366" cy="1828800"/>
            <wp:effectExtent l="0" t="0" r="0" b="0"/>
            <wp:wrapNone/>
            <wp:docPr id="15" name="对象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58187" cy="2897187"/>
                      <a:chOff x="357188" y="1357313"/>
                      <a:chExt cx="8358187" cy="2897187"/>
                    </a:xfrm>
                  </a:grpSpPr>
                  <a:grpSp>
                    <a:nvGrpSpPr>
                      <a:cNvPr id="173061" name="组合 21"/>
                      <a:cNvGrpSpPr>
                        <a:grpSpLocks/>
                      </a:cNvGrpSpPr>
                    </a:nvGrpSpPr>
                    <a:grpSpPr bwMode="auto">
                      <a:xfrm>
                        <a:off x="357188" y="1357313"/>
                        <a:ext cx="8358187" cy="2897187"/>
                        <a:chOff x="285750" y="785813"/>
                        <a:chExt cx="8358188" cy="2897187"/>
                      </a:xfrm>
                    </a:grpSpPr>
                    <a:pic>
                      <a:nvPicPr>
                        <a:cNvPr id="173062" name="Picture 15" descr="E:\工作文件2\3号线\初步设计\区间初步设计\9月14日提资\9月17号汇报ppt\永~儿区间总平面图 拷贝.jpg"/>
                        <a:cNvPicPr>
                          <a:picLocks noChangeAspect="1" noChangeArrowheads="1"/>
                        </a:cNvPicPr>
                      </a:nvPicPr>
                      <a:blipFill>
                        <a:blip r:embed="rId17"/>
                        <a:srcRect l="4306" t="2106" r="1608" b="15804"/>
                        <a:stretch>
                          <a:fillRect/>
                        </a:stretch>
                      </a:blipFill>
                      <a:spPr bwMode="auto">
                        <a:xfrm>
                          <a:off x="285750" y="825500"/>
                          <a:ext cx="8358188" cy="27860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73063" name="Text Box 14"/>
                        <a:cNvSpPr txBox="1">
                          <a:spLocks noChangeArrowheads="1"/>
                        </a:cNvSpPr>
                      </a:nvSpPr>
                      <a:spPr bwMode="auto">
                        <a:xfrm rot="2100000">
                          <a:off x="287338" y="785813"/>
                          <a:ext cx="952500" cy="30797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91408" tIns="45705" rIns="91408" bIns="45705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1pPr>
                            <a:lvl2pPr marL="455613" indent="-173038"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2pPr>
                            <a:lvl3pPr marL="912813" indent="-346075"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3pPr>
                            <a:lvl4pPr marL="1370013" indent="-519113"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4pPr>
                            <a:lvl5pPr marL="1827213" indent="-693738"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spcBef>
                                <a:spcPct val="50000"/>
                              </a:spcBef>
                            </a:pPr>
                            <a:r>
                              <a:rPr lang="zh-CN" altLang="en-US" sz="1400">
                                <a:latin typeface="微软雅黑" pitchFamily="34" charset="-122"/>
                                <a:ea typeface="微软雅黑" pitchFamily="34" charset="-122"/>
                              </a:rPr>
                              <a:t>永达路站</a:t>
                            </a:r>
                            <a:r>
                              <a:rPr lang="zh-CN" altLang="en-US" sz="1400">
                                <a:solidFill>
                                  <a:srgbClr val="0033CC"/>
                                </a:solidFill>
                                <a:latin typeface="微软雅黑" pitchFamily="34" charset="-122"/>
                                <a:ea typeface="微软雅黑" pitchFamily="34" charset="-122"/>
                              </a:rPr>
                              <a:t> 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73064" name="圆角矩形标注 3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357438" y="896938"/>
                          <a:ext cx="966787" cy="407987"/>
                        </a:xfrm>
                        <a:prstGeom prst="wedgeRoundRectCallout">
                          <a:avLst>
                            <a:gd name="adj1" fmla="val 85639"/>
                            <a:gd name="adj2" fmla="val 139583"/>
                            <a:gd name="adj3" fmla="val 16667"/>
                          </a:avLst>
                        </a:prstGeom>
                        <a:solidFill>
                          <a:srgbClr val="FF9900">
                            <a:alpha val="74901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91408" tIns="45705" rIns="91408" bIns="45705" anchor="ctr"/>
                          <a:lstStyle>
                            <a:defPPr>
                              <a:defRPr lang="zh-CN"/>
                            </a:defPPr>
                            <a:lvl1pPr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1pPr>
                            <a:lvl2pPr marL="455613" indent="-173038"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2pPr>
                            <a:lvl3pPr marL="912813" indent="-346075"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3pPr>
                            <a:lvl4pPr marL="1370013" indent="-519113"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4pPr>
                            <a:lvl5pPr marL="1827213" indent="-693738"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9pPr>
                          </a:lstStyle>
                          <a:p>
                            <a:pPr algn="ctr" eaLnBrk="0" hangingPunct="0">
                              <a:lnSpc>
                                <a:spcPct val="130000"/>
                              </a:lnSpc>
                              <a:buSzPct val="75000"/>
                            </a:pPr>
                            <a:r>
                              <a:rPr lang="zh-CN" altLang="en-US" sz="1400" b="1">
                                <a:ea typeface="微软雅黑" pitchFamily="34" charset="-122"/>
                              </a:rPr>
                              <a:t>杭甬铁路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73065" name="Text Box 14"/>
                        <a:cNvSpPr txBox="1">
                          <a:spLocks noChangeArrowheads="1"/>
                        </a:cNvSpPr>
                      </a:nvSpPr>
                      <a:spPr bwMode="auto">
                        <a:xfrm rot="120000">
                          <a:off x="7505700" y="989013"/>
                          <a:ext cx="1136650" cy="30797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91408" tIns="45705" rIns="91408" bIns="45705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1pPr>
                            <a:lvl2pPr marL="455613" indent="-173038"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2pPr>
                            <a:lvl3pPr marL="912813" indent="-346075"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3pPr>
                            <a:lvl4pPr marL="1370013" indent="-519113"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4pPr>
                            <a:lvl5pPr marL="1827213" indent="-693738"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spcBef>
                                <a:spcPct val="50000"/>
                              </a:spcBef>
                            </a:pPr>
                            <a:r>
                              <a:rPr lang="zh-CN" altLang="en-US" sz="1400">
                                <a:latin typeface="微软雅黑" pitchFamily="34" charset="-122"/>
                                <a:ea typeface="微软雅黑" pitchFamily="34" charset="-122"/>
                              </a:rPr>
                              <a:t>儿童乐园站</a:t>
                            </a:r>
                            <a:r>
                              <a:rPr lang="zh-CN" altLang="en-US" sz="1400">
                                <a:solidFill>
                                  <a:srgbClr val="0033CC"/>
                                </a:solidFill>
                                <a:latin typeface="微软雅黑" pitchFamily="34" charset="-122"/>
                                <a:ea typeface="微软雅黑" pitchFamily="34" charset="-122"/>
                              </a:rPr>
                              <a:t> 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73066" name="圆角矩形标注 2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000125" y="2825750"/>
                          <a:ext cx="1000125" cy="428625"/>
                        </a:xfrm>
                        <a:prstGeom prst="wedgeRoundRectCallout">
                          <a:avLst>
                            <a:gd name="adj1" fmla="val 72963"/>
                            <a:gd name="adj2" fmla="val -152759"/>
                            <a:gd name="adj3" fmla="val 16667"/>
                          </a:avLst>
                        </a:prstGeom>
                        <a:solidFill>
                          <a:srgbClr val="FF9900">
                            <a:alpha val="74901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91408" tIns="45705" rIns="91408" bIns="45705" anchor="ctr"/>
                          <a:lstStyle>
                            <a:defPPr>
                              <a:defRPr lang="zh-CN"/>
                            </a:defPPr>
                            <a:lvl1pPr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1pPr>
                            <a:lvl2pPr marL="455613" indent="-173038"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2pPr>
                            <a:lvl3pPr marL="912813" indent="-346075"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3pPr>
                            <a:lvl4pPr marL="1370013" indent="-519113"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4pPr>
                            <a:lvl5pPr marL="1827213" indent="-693738"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9pPr>
                          </a:lstStyle>
                          <a:p>
                            <a:pPr algn="ctr" eaLnBrk="0" hangingPunct="0">
                              <a:lnSpc>
                                <a:spcPct val="130000"/>
                              </a:lnSpc>
                              <a:buSzPct val="75000"/>
                            </a:pPr>
                            <a:r>
                              <a:rPr lang="zh-CN" altLang="en-US" sz="1400" b="1">
                                <a:ea typeface="微软雅黑" pitchFamily="34" charset="-122"/>
                              </a:rPr>
                              <a:t>仇家新村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73067" name="圆角矩形标注 1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357686" y="1785930"/>
                          <a:ext cx="966787" cy="407987"/>
                        </a:xfrm>
                        <a:prstGeom prst="wedgeRoundRectCallout">
                          <a:avLst>
                            <a:gd name="adj1" fmla="val -83028"/>
                            <a:gd name="adj2" fmla="val 159630"/>
                            <a:gd name="adj3" fmla="val 16667"/>
                          </a:avLst>
                        </a:prstGeom>
                        <a:solidFill>
                          <a:srgbClr val="FF9900">
                            <a:alpha val="74901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91408" tIns="45705" rIns="91408" bIns="45705" anchor="ctr"/>
                          <a:lstStyle>
                            <a:defPPr>
                              <a:defRPr lang="zh-CN"/>
                            </a:defPPr>
                            <a:lvl1pPr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1pPr>
                            <a:lvl2pPr marL="455613" indent="-173038"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2pPr>
                            <a:lvl3pPr marL="912813" indent="-346075"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3pPr>
                            <a:lvl4pPr marL="1370013" indent="-519113"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4pPr>
                            <a:lvl5pPr marL="1827213" indent="-693738"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9pPr>
                          </a:lstStyle>
                          <a:p>
                            <a:pPr algn="ctr" eaLnBrk="0" hangingPunct="0">
                              <a:lnSpc>
                                <a:spcPct val="130000"/>
                              </a:lnSpc>
                              <a:buSzPct val="75000"/>
                            </a:pPr>
                            <a:r>
                              <a:rPr lang="zh-CN" altLang="en-US" sz="1400" b="1">
                                <a:ea typeface="微软雅黑" pitchFamily="34" charset="-122"/>
                              </a:rPr>
                              <a:t>联络通道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73068" name="矩形 1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000496" y="2571748"/>
                          <a:ext cx="71438" cy="21431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algn="ctr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zh-CN"/>
                            </a:defPPr>
                            <a:lvl1pPr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1pPr>
                            <a:lvl2pPr marL="455613" indent="-173038"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2pPr>
                            <a:lvl3pPr marL="912813" indent="-346075"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3pPr>
                            <a:lvl4pPr marL="1370013" indent="-519113"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4pPr>
                            <a:lvl5pPr marL="1827213" indent="-693738"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9pPr>
                          </a:lstStyle>
                          <a:p>
                            <a:pPr defTabSz="1474788"/>
                            <a:endParaRPr lang="zh-CN" altLang="en-US" sz="2900"/>
                          </a:p>
                        </a:txBody>
                        <a:useSpRect/>
                      </a:txSp>
                    </a:sp>
                    <a:sp>
                      <a:nvSpPr>
                        <a:cNvPr id="173069" name="圆角矩形标注 2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000250" y="1539875"/>
                          <a:ext cx="1000125" cy="428625"/>
                        </a:xfrm>
                        <a:prstGeom prst="wedgeRoundRectCallout">
                          <a:avLst>
                            <a:gd name="adj1" fmla="val 52495"/>
                            <a:gd name="adj2" fmla="val 159278"/>
                            <a:gd name="adj3" fmla="val 16667"/>
                          </a:avLst>
                        </a:prstGeom>
                        <a:solidFill>
                          <a:srgbClr val="FF9900">
                            <a:alpha val="74901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91408" tIns="45705" rIns="91408" bIns="45705" anchor="ctr"/>
                          <a:lstStyle>
                            <a:defPPr>
                              <a:defRPr lang="zh-CN"/>
                            </a:defPPr>
                            <a:lvl1pPr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1pPr>
                            <a:lvl2pPr marL="455613" indent="-173038"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2pPr>
                            <a:lvl3pPr marL="912813" indent="-346075"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3pPr>
                            <a:lvl4pPr marL="1370013" indent="-519113"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4pPr>
                            <a:lvl5pPr marL="1827213" indent="-693738"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9pPr>
                          </a:lstStyle>
                          <a:p>
                            <a:pPr algn="ctr" eaLnBrk="0" hangingPunct="0">
                              <a:lnSpc>
                                <a:spcPct val="130000"/>
                              </a:lnSpc>
                              <a:buSzPct val="75000"/>
                            </a:pPr>
                            <a:r>
                              <a:rPr lang="zh-CN" altLang="en-US" sz="1400" b="1">
                                <a:ea typeface="微软雅黑" pitchFamily="34" charset="-122"/>
                              </a:rPr>
                              <a:t>现代机电物资市场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73070" name="圆角矩形标注 2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714875" y="3254375"/>
                          <a:ext cx="1000125" cy="428625"/>
                        </a:xfrm>
                        <a:prstGeom prst="wedgeRoundRectCallout">
                          <a:avLst>
                            <a:gd name="adj1" fmla="val -86690"/>
                            <a:gd name="adj2" fmla="val -168681"/>
                            <a:gd name="adj3" fmla="val 16667"/>
                          </a:avLst>
                        </a:prstGeom>
                        <a:solidFill>
                          <a:srgbClr val="FF9900">
                            <a:alpha val="74901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91408" tIns="45705" rIns="91408" bIns="45705" anchor="ctr"/>
                          <a:lstStyle>
                            <a:defPPr>
                              <a:defRPr lang="zh-CN"/>
                            </a:defPPr>
                            <a:lvl1pPr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1pPr>
                            <a:lvl2pPr marL="455613" indent="-173038"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2pPr>
                            <a:lvl3pPr marL="912813" indent="-346075"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3pPr>
                            <a:lvl4pPr marL="1370013" indent="-519113"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4pPr>
                            <a:lvl5pPr marL="1827213" indent="-693738"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9pPr>
                          </a:lstStyle>
                          <a:p>
                            <a:pPr algn="ctr" eaLnBrk="0" hangingPunct="0">
                              <a:lnSpc>
                                <a:spcPct val="130000"/>
                              </a:lnSpc>
                              <a:buSzPct val="75000"/>
                            </a:pPr>
                            <a:r>
                              <a:rPr lang="zh-CN" altLang="en-US" sz="1400" b="1">
                                <a:ea typeface="微软雅黑" pitchFamily="34" charset="-122"/>
                              </a:rPr>
                              <a:t>现代板材地板市场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73071" name="圆角矩形标注 2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143625" y="3182938"/>
                          <a:ext cx="785813" cy="285750"/>
                        </a:xfrm>
                        <a:prstGeom prst="wedgeRoundRectCallout">
                          <a:avLst>
                            <a:gd name="adj1" fmla="val -39921"/>
                            <a:gd name="adj2" fmla="val -230769"/>
                            <a:gd name="adj3" fmla="val 16667"/>
                          </a:avLst>
                        </a:prstGeom>
                        <a:solidFill>
                          <a:srgbClr val="FF9900">
                            <a:alpha val="74901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91408" tIns="45705" rIns="91408" bIns="45705" anchor="ctr"/>
                          <a:lstStyle>
                            <a:defPPr>
                              <a:defRPr lang="zh-CN"/>
                            </a:defPPr>
                            <a:lvl1pPr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1pPr>
                            <a:lvl2pPr marL="455613" indent="-173038"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2pPr>
                            <a:lvl3pPr marL="912813" indent="-346075"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3pPr>
                            <a:lvl4pPr marL="1370013" indent="-519113"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4pPr>
                            <a:lvl5pPr marL="1827213" indent="-693738"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9pPr>
                          </a:lstStyle>
                          <a:p>
                            <a:pPr algn="ctr" eaLnBrk="0" hangingPunct="0">
                              <a:lnSpc>
                                <a:spcPct val="130000"/>
                              </a:lnSpc>
                              <a:buSzPct val="75000"/>
                            </a:pPr>
                            <a:r>
                              <a:rPr lang="zh-CN" altLang="en-US" sz="1400" b="1">
                                <a:ea typeface="微软雅黑" pitchFamily="34" charset="-122"/>
                              </a:rPr>
                              <a:t>后盛村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73072" name="圆角矩形标注 2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072188" y="1468438"/>
                          <a:ext cx="1000125" cy="428625"/>
                        </a:xfrm>
                        <a:prstGeom prst="wedgeRoundRectCallout">
                          <a:avLst>
                            <a:gd name="adj1" fmla="val 55227"/>
                            <a:gd name="adj2" fmla="val 152912"/>
                            <a:gd name="adj3" fmla="val 16667"/>
                          </a:avLst>
                        </a:prstGeom>
                        <a:solidFill>
                          <a:srgbClr val="FF9900">
                            <a:alpha val="74901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91408" tIns="45705" rIns="91408" bIns="45705" anchor="ctr"/>
                          <a:lstStyle>
                            <a:defPPr>
                              <a:defRPr lang="zh-CN"/>
                            </a:defPPr>
                            <a:lvl1pPr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1pPr>
                            <a:lvl2pPr marL="455613" indent="-173038"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2pPr>
                            <a:lvl3pPr marL="912813" indent="-346075"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3pPr>
                            <a:lvl4pPr marL="1370013" indent="-519113"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4pPr>
                            <a:lvl5pPr marL="1827213" indent="-693738"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9pPr>
                          </a:lstStyle>
                          <a:p>
                            <a:pPr algn="ctr" eaLnBrk="0" hangingPunct="0">
                              <a:lnSpc>
                                <a:spcPct val="130000"/>
                              </a:lnSpc>
                              <a:buSzPct val="75000"/>
                            </a:pPr>
                            <a:r>
                              <a:rPr lang="zh-CN" altLang="en-US" sz="1400" b="1">
                                <a:ea typeface="微软雅黑" pitchFamily="34" charset="-122"/>
                              </a:rPr>
                              <a:t>甬南纸业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73073" name="圆角矩形标注 2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286625" y="1468438"/>
                          <a:ext cx="1214438" cy="428625"/>
                        </a:xfrm>
                        <a:prstGeom prst="wedgeRoundRectCallout">
                          <a:avLst>
                            <a:gd name="adj1" fmla="val 2810"/>
                            <a:gd name="adj2" fmla="val 184750"/>
                            <a:gd name="adj3" fmla="val 16667"/>
                          </a:avLst>
                        </a:prstGeom>
                        <a:solidFill>
                          <a:srgbClr val="FF9900">
                            <a:alpha val="74901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91408" tIns="45705" rIns="91408" bIns="45705" anchor="ctr"/>
                          <a:lstStyle>
                            <a:defPPr>
                              <a:defRPr lang="zh-CN"/>
                            </a:defPPr>
                            <a:lvl1pPr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1pPr>
                            <a:lvl2pPr marL="455613" indent="-173038"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2pPr>
                            <a:lvl3pPr marL="912813" indent="-346075"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3pPr>
                            <a:lvl4pPr marL="1370013" indent="-519113"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4pPr>
                            <a:lvl5pPr marL="1827213" indent="-693738"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9pPr>
                          </a:lstStyle>
                          <a:p>
                            <a:pPr algn="ctr" eaLnBrk="0" hangingPunct="0">
                              <a:lnSpc>
                                <a:spcPct val="130000"/>
                              </a:lnSpc>
                              <a:buSzPct val="75000"/>
                            </a:pPr>
                            <a:r>
                              <a:rPr lang="zh-CN" altLang="en-US" sz="1400" b="1">
                                <a:ea typeface="微软雅黑" pitchFamily="34" charset="-122"/>
                              </a:rPr>
                              <a:t>东柳商务楼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73074" name="圆角矩形标注 2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286625" y="3254375"/>
                          <a:ext cx="1214438" cy="214313"/>
                        </a:xfrm>
                        <a:prstGeom prst="wedgeRoundRectCallout">
                          <a:avLst>
                            <a:gd name="adj1" fmla="val -39921"/>
                            <a:gd name="adj2" fmla="val -230769"/>
                            <a:gd name="adj3" fmla="val 16667"/>
                          </a:avLst>
                        </a:prstGeom>
                        <a:solidFill>
                          <a:srgbClr val="FF9900">
                            <a:alpha val="74901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91408" tIns="45705" rIns="91408" bIns="45705" anchor="ctr"/>
                          <a:lstStyle>
                            <a:defPPr>
                              <a:defRPr lang="zh-CN"/>
                            </a:defPPr>
                            <a:lvl1pPr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1pPr>
                            <a:lvl2pPr marL="455613" indent="-173038"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2pPr>
                            <a:lvl3pPr marL="912813" indent="-346075"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3pPr>
                            <a:lvl4pPr marL="1370013" indent="-519113"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4pPr>
                            <a:lvl5pPr marL="1827213" indent="-693738" algn="l" defTabSz="912813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宋体" charset="-122"/>
                                <a:cs typeface="+mn-cs"/>
                              </a:defRPr>
                            </a:lvl9pPr>
                          </a:lstStyle>
                          <a:p>
                            <a:pPr algn="ctr" eaLnBrk="0" hangingPunct="0">
                              <a:lnSpc>
                                <a:spcPct val="130000"/>
                              </a:lnSpc>
                              <a:buSzPct val="75000"/>
                            </a:pPr>
                            <a:r>
                              <a:rPr lang="zh-CN" altLang="en-US" sz="1400" b="1">
                                <a:ea typeface="微软雅黑" pitchFamily="34" charset="-122"/>
                              </a:rPr>
                              <a:t>江东供电局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</w:p>
    <w:p w:rsidR="007111D6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/>
          <w:sz w:val="28"/>
          <w:szCs w:val="28"/>
        </w:rPr>
      </w:pPr>
    </w:p>
    <w:p w:rsidR="007111D6" w:rsidRPr="0038765C" w:rsidRDefault="007111D6" w:rsidP="007111D6">
      <w:pPr>
        <w:widowControl/>
        <w:spacing w:line="520" w:lineRule="exact"/>
        <w:ind w:firstLine="600"/>
        <w:rPr>
          <w:rFonts w:ascii="华文仿宋" w:eastAsia="华文仿宋" w:hAnsi="华文仿宋" w:cs="Times New Roman"/>
          <w:sz w:val="28"/>
          <w:szCs w:val="28"/>
        </w:rPr>
      </w:pPr>
      <w:r w:rsidRPr="0038765C">
        <w:rPr>
          <w:rFonts w:ascii="华文仿宋" w:eastAsia="华文仿宋" w:hAnsi="华文仿宋" w:cs="Times New Roman" w:hint="eastAsia"/>
          <w:sz w:val="28"/>
          <w:szCs w:val="28"/>
        </w:rPr>
        <w:t>儿童乐园站位于兴宁路与中兴路交叉口东侧儿童乐园内，为3号线与4号线的换乘车站。3号线站位位于兴宁路北侧，中兴路东侧地块内；4号线站位位于中兴路东侧，沿兴宁路东西向敷设。3号线车站为地下三层14m站台岛式车站，车站规模313mx22.9m(外包)，总建筑面积为49733 m2；4号线车站为地下二层14m站台岛式车站，车站规模490mx22.7m(外包)，总建筑面积为26918m2。 车站共设10个出入口，6组风亭（3、4号线各3组）。</w:t>
      </w:r>
    </w:p>
    <w:sectPr w:rsidR="007111D6" w:rsidRPr="0038765C" w:rsidSect="002555A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7D0F" w:rsidRDefault="00237D0F" w:rsidP="007111D6">
      <w:r>
        <w:separator/>
      </w:r>
    </w:p>
  </w:endnote>
  <w:endnote w:type="continuationSeparator" w:id="0">
    <w:p w:rsidR="00237D0F" w:rsidRDefault="00237D0F" w:rsidP="007111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A54" w:rsidRDefault="00927A54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A54" w:rsidRDefault="00927A54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A54" w:rsidRDefault="00927A5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7D0F" w:rsidRDefault="00237D0F" w:rsidP="007111D6">
      <w:r>
        <w:separator/>
      </w:r>
    </w:p>
  </w:footnote>
  <w:footnote w:type="continuationSeparator" w:id="0">
    <w:p w:rsidR="00237D0F" w:rsidRDefault="00237D0F" w:rsidP="007111D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A54" w:rsidRDefault="00927A5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A54" w:rsidRDefault="00927A54" w:rsidP="00927A54">
    <w:pPr>
      <w:pStyle w:val="a3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A54" w:rsidRDefault="00927A54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111D6"/>
    <w:rsid w:val="00237D0F"/>
    <w:rsid w:val="002555AB"/>
    <w:rsid w:val="007111D6"/>
    <w:rsid w:val="007E13F0"/>
    <w:rsid w:val="00927A54"/>
    <w:rsid w:val="009D1B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1D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111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111D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111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111D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111D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111D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49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90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328</Words>
  <Characters>1876</Characters>
  <Application>Microsoft Office Word</Application>
  <DocSecurity>0</DocSecurity>
  <Lines>15</Lines>
  <Paragraphs>4</Paragraphs>
  <ScaleCrop>false</ScaleCrop>
  <Company/>
  <LinksUpToDate>false</LinksUpToDate>
  <CharactersWithSpaces>2200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shinlalo</dc:creator>
  <cp:keywords/>
  <dc:description/>
  <cp:lastModifiedBy>胡增辉</cp:lastModifiedBy>
  <cp:revision>4</cp:revision>
  <dcterms:created xsi:type="dcterms:W3CDTF">2014-08-08T01:37:00Z</dcterms:created>
  <dcterms:modified xsi:type="dcterms:W3CDTF">2014-08-08T02:41:00Z</dcterms:modified>
</cp:coreProperties>
</file>