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sz w:val="32"/>
          <w:szCs w:val="32"/>
        </w:rPr>
      </w:pPr>
      <w:r>
        <w:rPr>
          <w:rFonts w:hint="eastAsia"/>
          <w:sz w:val="32"/>
          <w:szCs w:val="32"/>
        </w:rPr>
        <w:t>用户需求书</w:t>
      </w:r>
    </w:p>
    <w:p>
      <w:pPr>
        <w:ind w:firstLine="482"/>
        <w:rPr>
          <w:b/>
        </w:rPr>
      </w:pPr>
      <w:r>
        <w:rPr>
          <w:b/>
        </w:rPr>
        <w:t xml:space="preserve">1 </w:t>
      </w:r>
      <w:r>
        <w:rPr>
          <w:rFonts w:hint="eastAsia"/>
          <w:b/>
        </w:rPr>
        <w:t>项目背景</w:t>
      </w:r>
    </w:p>
    <w:p>
      <w:pPr>
        <w:widowControl/>
        <w:spacing w:line="580" w:lineRule="exact"/>
        <w:ind w:firstLine="420" w:firstLineChars="200"/>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为保障宁波轨道交通运营事业健康持续发展，根据网络化运营人才储备的需要，</w:t>
      </w:r>
      <w:r>
        <w:rPr>
          <w:rFonts w:hint="eastAsia" w:cs="宋体" w:asciiTheme="minorEastAsia" w:hAnsiTheme="minorEastAsia" w:eastAsiaTheme="minorEastAsia"/>
          <w:kern w:val="0"/>
          <w:sz w:val="21"/>
          <w:szCs w:val="21"/>
          <w:lang w:eastAsia="zh-CN"/>
        </w:rPr>
        <w:t>建立完善的人才梯队体系</w:t>
      </w:r>
      <w:r>
        <w:rPr>
          <w:rFonts w:hint="eastAsia" w:cs="宋体" w:asciiTheme="minorEastAsia" w:hAnsiTheme="minorEastAsia" w:eastAsiaTheme="minorEastAsia"/>
          <w:kern w:val="0"/>
          <w:sz w:val="21"/>
          <w:szCs w:val="21"/>
        </w:rPr>
        <w:t>。</w:t>
      </w:r>
    </w:p>
    <w:p>
      <w:pPr>
        <w:widowControl/>
        <w:spacing w:line="580" w:lineRule="exact"/>
        <w:ind w:firstLine="420" w:firstLineChars="200"/>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 服务期限</w:t>
      </w:r>
      <w:r>
        <w:rPr>
          <w:rFonts w:cs="宋体" w:asciiTheme="minorEastAsia" w:hAnsiTheme="minorEastAsia" w:eastAsiaTheme="minorEastAsia"/>
          <w:kern w:val="0"/>
          <w:sz w:val="21"/>
          <w:szCs w:val="21"/>
        </w:rPr>
        <w:t>及项目目标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cs="宋体" w:asciiTheme="minorEastAsia" w:hAnsiTheme="minorEastAsia" w:eastAsiaTheme="minorEastAsia"/>
          <w:kern w:val="0"/>
          <w:sz w:val="21"/>
          <w:szCs w:val="21"/>
        </w:rPr>
      </w:pPr>
      <w:r>
        <w:rPr>
          <w:rFonts w:cs="宋体" w:asciiTheme="minorEastAsia" w:hAnsiTheme="minorEastAsia" w:eastAsiaTheme="minorEastAsia"/>
          <w:kern w:val="0"/>
          <w:sz w:val="21"/>
          <w:szCs w:val="21"/>
        </w:rPr>
        <w:t>本合同服务期限为</w:t>
      </w:r>
      <w:r>
        <w:rPr>
          <w:rFonts w:hint="eastAsia" w:cs="宋体" w:asciiTheme="minorEastAsia" w:hAnsiTheme="minorEastAsia" w:eastAsiaTheme="minorEastAsia"/>
          <w:kern w:val="0"/>
          <w:sz w:val="21"/>
          <w:szCs w:val="21"/>
        </w:rPr>
        <w:t>2年框架性协议。合同期内完成不超过450人的招聘到岗。人员招聘到岗以与运营分公司签订劳动合同为准。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textAlignment w:val="auto"/>
        <w:outlineLvl w:val="9"/>
        <w:rPr>
          <w:b/>
        </w:rPr>
      </w:pPr>
      <w:r>
        <w:rPr>
          <w:b/>
        </w:rPr>
        <w:t>2 项目要求</w:t>
      </w:r>
    </w:p>
    <w:p>
      <w:pPr>
        <w:spacing w:line="580" w:lineRule="exact"/>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运营分公司根据工作需要面向社会大批量招聘工作人员时，</w:t>
      </w:r>
      <w:r>
        <w:rPr>
          <w:rFonts w:hint="eastAsia" w:asciiTheme="minorEastAsia" w:hAnsiTheme="minorEastAsia" w:eastAsiaTheme="minorEastAsia"/>
          <w:sz w:val="21"/>
          <w:szCs w:val="21"/>
          <w:lang w:eastAsia="zh-CN"/>
        </w:rPr>
        <w:t>比选申请人</w:t>
      </w:r>
      <w:r>
        <w:rPr>
          <w:rFonts w:asciiTheme="minorEastAsia" w:hAnsiTheme="minorEastAsia" w:eastAsiaTheme="minorEastAsia"/>
          <w:sz w:val="21"/>
          <w:szCs w:val="21"/>
        </w:rPr>
        <w:t>须按照以下流程进行人员招聘。大批量社会招聘指一次性向社会招聘岗位超过</w:t>
      </w:r>
      <w:r>
        <w:rPr>
          <w:rFonts w:hint="eastAsia" w:asciiTheme="minorEastAsia" w:hAnsiTheme="minorEastAsia" w:eastAsiaTheme="minorEastAsia"/>
          <w:sz w:val="21"/>
          <w:szCs w:val="21"/>
        </w:rPr>
        <w:t>20个或同一招聘岗位人数超过15个的情形</w:t>
      </w:r>
      <w:r>
        <w:rPr>
          <w:rFonts w:asciiTheme="minorEastAsia" w:hAnsiTheme="minorEastAsia" w:eastAsiaTheme="minorEastAsia"/>
          <w:sz w:val="21"/>
          <w:szCs w:val="21"/>
        </w:rPr>
        <w:t>。</w:t>
      </w:r>
    </w:p>
    <w:p>
      <w:pPr>
        <w:spacing w:line="58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w:t>
      </w:r>
      <w:r>
        <w:rPr>
          <w:rFonts w:hint="eastAsia" w:asciiTheme="minorEastAsia" w:hAnsiTheme="minorEastAsia" w:eastAsiaTheme="minorEastAsia"/>
          <w:sz w:val="21"/>
          <w:szCs w:val="21"/>
          <w:lang w:eastAsia="zh-CN"/>
        </w:rPr>
        <w:t>比选申请人</w:t>
      </w:r>
      <w:r>
        <w:rPr>
          <w:rFonts w:hint="eastAsia" w:asciiTheme="minorEastAsia" w:hAnsiTheme="minorEastAsia" w:eastAsiaTheme="minorEastAsia"/>
          <w:sz w:val="21"/>
          <w:szCs w:val="21"/>
        </w:rPr>
        <w:t>按照</w:t>
      </w:r>
      <w:r>
        <w:rPr>
          <w:rFonts w:hint="eastAsia" w:cs="宋体" w:asciiTheme="minorEastAsia" w:hAnsiTheme="minorEastAsia" w:eastAsiaTheme="minorEastAsia"/>
          <w:kern w:val="0"/>
          <w:sz w:val="21"/>
          <w:szCs w:val="21"/>
        </w:rPr>
        <w:t>运营分公司</w:t>
      </w:r>
      <w:r>
        <w:rPr>
          <w:rFonts w:hint="eastAsia" w:asciiTheme="minorEastAsia" w:hAnsiTheme="minorEastAsia" w:eastAsiaTheme="minorEastAsia"/>
          <w:sz w:val="21"/>
          <w:szCs w:val="21"/>
        </w:rPr>
        <w:t>要求于</w:t>
      </w:r>
      <w:r>
        <w:rPr>
          <w:rFonts w:hint="eastAsia" w:asciiTheme="minorEastAsia" w:hAnsiTheme="minorEastAsia" w:eastAsiaTheme="minorEastAsia"/>
          <w:sz w:val="21"/>
          <w:szCs w:val="21"/>
          <w:lang w:eastAsia="zh-CN"/>
        </w:rPr>
        <w:t>比选申请人</w:t>
      </w:r>
      <w:r>
        <w:rPr>
          <w:rFonts w:hint="eastAsia" w:asciiTheme="minorEastAsia" w:hAnsiTheme="minorEastAsia" w:eastAsiaTheme="minorEastAsia"/>
          <w:sz w:val="21"/>
          <w:szCs w:val="21"/>
        </w:rPr>
        <w:t>的官网或微信公众号发布招聘公告，公告需含运营分公司招聘纪检监察组的投诉电话，内容需经运营分公司确认。同时，</w:t>
      </w:r>
      <w:r>
        <w:rPr>
          <w:rFonts w:hint="eastAsia" w:asciiTheme="minorEastAsia" w:hAnsiTheme="minorEastAsia" w:eastAsiaTheme="minorEastAsia"/>
          <w:sz w:val="21"/>
          <w:szCs w:val="21"/>
          <w:lang w:eastAsia="zh-CN"/>
        </w:rPr>
        <w:t>比选申请人</w:t>
      </w:r>
      <w:r>
        <w:rPr>
          <w:rFonts w:hint="eastAsia" w:asciiTheme="minorEastAsia" w:hAnsiTheme="minorEastAsia" w:eastAsiaTheme="minorEastAsia"/>
          <w:sz w:val="21"/>
          <w:szCs w:val="21"/>
        </w:rPr>
        <w:t>制作宣传H</w:t>
      </w:r>
      <w:r>
        <w:rPr>
          <w:rFonts w:asciiTheme="minorEastAsia" w:hAnsiTheme="minorEastAsia" w:eastAsiaTheme="minorEastAsia"/>
          <w:sz w:val="21"/>
          <w:szCs w:val="21"/>
        </w:rPr>
        <w:t>5、软文等宣传资料并负责在</w:t>
      </w:r>
      <w:r>
        <w:rPr>
          <w:rFonts w:hint="eastAsia" w:asciiTheme="minorEastAsia" w:hAnsiTheme="minorEastAsia" w:eastAsiaTheme="minorEastAsia"/>
          <w:sz w:val="21"/>
          <w:szCs w:val="21"/>
        </w:rPr>
        <w:t>2家及以上</w:t>
      </w:r>
      <w:r>
        <w:rPr>
          <w:rFonts w:asciiTheme="minorEastAsia" w:hAnsiTheme="minorEastAsia" w:eastAsiaTheme="minorEastAsia"/>
          <w:sz w:val="21"/>
          <w:szCs w:val="21"/>
        </w:rPr>
        <w:t>本地有影响力的媒体上做招聘宣传。</w:t>
      </w:r>
    </w:p>
    <w:p>
      <w:pPr>
        <w:spacing w:line="58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w:t>
      </w:r>
      <w:r>
        <w:rPr>
          <w:rFonts w:hint="eastAsia" w:asciiTheme="minorEastAsia" w:hAnsiTheme="minorEastAsia" w:eastAsiaTheme="minorEastAsia"/>
          <w:sz w:val="21"/>
          <w:szCs w:val="21"/>
          <w:lang w:eastAsia="zh-CN"/>
        </w:rPr>
        <w:t>比选申请人</w:t>
      </w:r>
      <w:r>
        <w:rPr>
          <w:rFonts w:asciiTheme="minorEastAsia" w:hAnsiTheme="minorEastAsia" w:eastAsiaTheme="minorEastAsia"/>
          <w:sz w:val="21"/>
          <w:szCs w:val="21"/>
        </w:rPr>
        <w:t>提供招聘报名系统供应聘者投递简历。</w:t>
      </w:r>
    </w:p>
    <w:p>
      <w:pPr>
        <w:spacing w:line="58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2.3</w:t>
      </w:r>
      <w:r>
        <w:rPr>
          <w:rFonts w:hint="eastAsia" w:asciiTheme="minorEastAsia" w:hAnsiTheme="minorEastAsia" w:eastAsiaTheme="minorEastAsia"/>
          <w:sz w:val="21"/>
          <w:szCs w:val="21"/>
          <w:lang w:eastAsia="zh-CN"/>
        </w:rPr>
        <w:t>比选申请人</w:t>
      </w:r>
      <w:r>
        <w:rPr>
          <w:rFonts w:asciiTheme="minorEastAsia" w:hAnsiTheme="minorEastAsia" w:eastAsiaTheme="minorEastAsia"/>
          <w:sz w:val="21"/>
          <w:szCs w:val="21"/>
        </w:rPr>
        <w:t>负责汇总应聘人员报名信息，于报名截止</w:t>
      </w:r>
      <w:r>
        <w:rPr>
          <w:rFonts w:hint="eastAsia" w:asciiTheme="minorEastAsia" w:hAnsiTheme="minorEastAsia" w:eastAsiaTheme="minorEastAsia"/>
          <w:sz w:val="21"/>
          <w:szCs w:val="21"/>
        </w:rPr>
        <w:t>3个工作日内</w:t>
      </w:r>
      <w:r>
        <w:rPr>
          <w:rFonts w:asciiTheme="minorEastAsia" w:hAnsiTheme="minorEastAsia" w:eastAsiaTheme="minorEastAsia"/>
          <w:sz w:val="21"/>
          <w:szCs w:val="21"/>
        </w:rPr>
        <w:t>书面提交《运营分公司社招报名情况表》。</w:t>
      </w:r>
    </w:p>
    <w:p>
      <w:pPr>
        <w:spacing w:line="58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2.4</w:t>
      </w:r>
      <w:r>
        <w:rPr>
          <w:rFonts w:hint="eastAsia" w:asciiTheme="minorEastAsia" w:hAnsiTheme="minorEastAsia" w:eastAsiaTheme="minorEastAsia"/>
          <w:sz w:val="21"/>
          <w:szCs w:val="21"/>
          <w:lang w:eastAsia="zh-CN"/>
        </w:rPr>
        <w:t>比选申请人</w:t>
      </w:r>
      <w:r>
        <w:rPr>
          <w:rFonts w:asciiTheme="minorEastAsia" w:hAnsiTheme="minorEastAsia" w:eastAsiaTheme="minorEastAsia"/>
          <w:sz w:val="21"/>
          <w:szCs w:val="21"/>
        </w:rPr>
        <w:t>按照招聘公告的要求进行简历筛选，于报名截止</w:t>
      </w:r>
      <w:r>
        <w:rPr>
          <w:rFonts w:hint="eastAsia" w:asciiTheme="minorEastAsia" w:hAnsiTheme="minorEastAsia" w:eastAsiaTheme="minorEastAsia"/>
          <w:sz w:val="21"/>
          <w:szCs w:val="21"/>
        </w:rPr>
        <w:t>7个工作日内书面提交</w:t>
      </w:r>
      <w:r>
        <w:rPr>
          <w:rFonts w:asciiTheme="minorEastAsia" w:hAnsiTheme="minorEastAsia" w:eastAsiaTheme="minorEastAsia"/>
          <w:sz w:val="21"/>
          <w:szCs w:val="21"/>
        </w:rPr>
        <w:t>《社招简历筛选表》。报名人数超过</w:t>
      </w:r>
      <w:r>
        <w:rPr>
          <w:rFonts w:hint="eastAsia" w:asciiTheme="minorEastAsia" w:hAnsiTheme="minorEastAsia" w:eastAsiaTheme="minorEastAsia"/>
          <w:sz w:val="21"/>
          <w:szCs w:val="21"/>
        </w:rPr>
        <w:t>800人的，每超过100人可延后2个工作日提交</w:t>
      </w:r>
      <w:r>
        <w:rPr>
          <w:rFonts w:asciiTheme="minorEastAsia" w:hAnsiTheme="minorEastAsia" w:eastAsiaTheme="minorEastAsia"/>
          <w:sz w:val="21"/>
          <w:szCs w:val="21"/>
        </w:rPr>
        <w:t>。</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2.5</w:t>
      </w:r>
      <w:r>
        <w:rPr>
          <w:rFonts w:hint="eastAsia" w:asciiTheme="minorEastAsia" w:hAnsiTheme="minorEastAsia" w:eastAsiaTheme="minorEastAsia"/>
          <w:sz w:val="21"/>
          <w:szCs w:val="21"/>
          <w:lang w:eastAsia="zh-CN"/>
        </w:rPr>
        <w:t>比选申请人</w:t>
      </w:r>
      <w:r>
        <w:rPr>
          <w:rFonts w:asciiTheme="minorEastAsia" w:hAnsiTheme="minorEastAsia" w:eastAsiaTheme="minorEastAsia"/>
          <w:sz w:val="21"/>
          <w:szCs w:val="21"/>
        </w:rPr>
        <w:t>按照运营分公司指定的考察范围负责</w:t>
      </w:r>
      <w:r>
        <w:rPr>
          <w:rFonts w:hint="eastAsia" w:asciiTheme="minorEastAsia" w:hAnsiTheme="minorEastAsia" w:eastAsiaTheme="minorEastAsia"/>
          <w:color w:val="000000"/>
          <w:sz w:val="21"/>
          <w:szCs w:val="21"/>
        </w:rPr>
        <w:t>笔试的命题，要求每个岗位一套试题。同时，</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负责试卷印刷、密封等工作，并将密封的试卷存放于有监控的房间。</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2.6</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负责在</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sz w:val="21"/>
          <w:szCs w:val="21"/>
        </w:rPr>
        <w:t>的官网或微信公众号发布简历筛选通过人员名单以及笔试公告。</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2.7</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负责短信通知简历筛选通过人员参加笔试。短信须载明要求应聘人员回复，未回复的，要求</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电话确认。</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2.8</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负责提供笔试场地，要求每间能满足单人单座且不多于</w:t>
      </w:r>
      <w:r>
        <w:rPr>
          <w:rFonts w:hint="eastAsia" w:asciiTheme="minorEastAsia" w:hAnsiTheme="minorEastAsia" w:eastAsiaTheme="minorEastAsia"/>
          <w:color w:val="000000"/>
          <w:sz w:val="21"/>
          <w:szCs w:val="21"/>
        </w:rPr>
        <w:t>50人同时笔试；同时，要求同一招聘岗位于同一时间笔试。</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2.9</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负责笔试考场指引牌的制作和摆放，笔试签到表制作，</w:t>
      </w:r>
      <w:r>
        <w:rPr>
          <w:rFonts w:hint="eastAsia" w:asciiTheme="minorEastAsia" w:hAnsiTheme="minorEastAsia" w:eastAsiaTheme="minorEastAsia"/>
          <w:color w:val="000000"/>
          <w:sz w:val="21"/>
          <w:szCs w:val="21"/>
        </w:rPr>
        <w:t>现场秩序的维持，考生签到；负责</w:t>
      </w:r>
      <w:r>
        <w:rPr>
          <w:rFonts w:asciiTheme="minorEastAsia" w:hAnsiTheme="minorEastAsia" w:eastAsiaTheme="minorEastAsia"/>
          <w:color w:val="000000"/>
          <w:sz w:val="21"/>
          <w:szCs w:val="21"/>
        </w:rPr>
        <w:t>提供每场不少于2名监考人员</w:t>
      </w:r>
      <w:r>
        <w:rPr>
          <w:rFonts w:hint="eastAsia" w:asciiTheme="minorEastAsia" w:hAnsiTheme="minorEastAsia" w:eastAsiaTheme="minorEastAsia"/>
          <w:color w:val="000000"/>
          <w:sz w:val="21"/>
          <w:szCs w:val="21"/>
        </w:rPr>
        <w:t>监考，试卷和答题卷的收集，运送</w:t>
      </w:r>
      <w:r>
        <w:rPr>
          <w:rFonts w:asciiTheme="minorEastAsia" w:hAnsiTheme="minorEastAsia" w:eastAsiaTheme="minorEastAsia"/>
          <w:color w:val="000000"/>
          <w:sz w:val="21"/>
          <w:szCs w:val="21"/>
        </w:rPr>
        <w:t>等考务工作。</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2.10</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负责阅卷、批卷、登分等工作，于笔试结束</w:t>
      </w:r>
      <w:r>
        <w:rPr>
          <w:rFonts w:hint="eastAsia" w:asciiTheme="minorEastAsia" w:hAnsiTheme="minorEastAsia" w:eastAsiaTheme="minorEastAsia"/>
          <w:color w:val="000000"/>
          <w:sz w:val="21"/>
          <w:szCs w:val="21"/>
        </w:rPr>
        <w:t>3个工作日内书面提交《笔试成绩汇总表》。</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2.11</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负责将应聘人员笔试成绩从高分到低分排序，按招聘公告要求确定参加面试人员名单。</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2.12</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负责在</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sz w:val="21"/>
          <w:szCs w:val="21"/>
        </w:rPr>
        <w:t>的官网或微信公众号发布笔试通过人员名单以及面试公告。</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2.13</w:t>
      </w:r>
      <w:r>
        <w:rPr>
          <w:rFonts w:asciiTheme="minorEastAsia" w:hAnsiTheme="minorEastAsia" w:eastAsiaTheme="minorEastAsia"/>
          <w:color w:val="000000"/>
          <w:sz w:val="21"/>
          <w:szCs w:val="21"/>
        </w:rPr>
        <w:t>并负责短信通知参加面试人员。</w:t>
      </w:r>
      <w:r>
        <w:rPr>
          <w:rFonts w:hint="eastAsia" w:asciiTheme="minorEastAsia" w:hAnsiTheme="minorEastAsia" w:eastAsiaTheme="minorEastAsia"/>
          <w:color w:val="000000"/>
          <w:sz w:val="21"/>
          <w:szCs w:val="21"/>
        </w:rPr>
        <w:t>短信须载明要求应聘人员回复，未回复的，要求</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电话确认。</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2.14</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负责提供面试室和面试等候室，其中面试室要求不少于</w:t>
      </w:r>
      <w:r>
        <w:rPr>
          <w:rFonts w:hint="eastAsia" w:asciiTheme="minorEastAsia" w:hAnsiTheme="minorEastAsia" w:eastAsiaTheme="minorEastAsia"/>
          <w:color w:val="000000"/>
          <w:sz w:val="21"/>
          <w:szCs w:val="21"/>
        </w:rPr>
        <w:t>30平方/间，每个岗位每个面试小组安排一间面试室。</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2.15</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负责向每个面试小组提供</w:t>
      </w:r>
      <w:r>
        <w:rPr>
          <w:rFonts w:hint="eastAsia" w:asciiTheme="minorEastAsia" w:hAnsiTheme="minorEastAsia" w:eastAsiaTheme="minorEastAsia"/>
          <w:color w:val="000000"/>
          <w:sz w:val="21"/>
          <w:szCs w:val="21"/>
        </w:rPr>
        <w:t>2名面试官和1名负责分数统计的工作人员，面试官要求具有3年及以上人力资源相关工作经验。同时，</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负责向每个面试等候室提供2名及以上工作人员负责现场秩序和面试纪律的维持，面试人员签到等工作。</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2.16</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负责面试成绩的统计，于面试结束</w:t>
      </w:r>
      <w:r>
        <w:rPr>
          <w:rFonts w:hint="eastAsia" w:asciiTheme="minorEastAsia" w:hAnsiTheme="minorEastAsia" w:eastAsiaTheme="minorEastAsia"/>
          <w:color w:val="000000"/>
          <w:sz w:val="21"/>
          <w:szCs w:val="21"/>
        </w:rPr>
        <w:t>1个工作日内书面提交《面试成绩汇总表》。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2.17</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按照招聘公告负责计算应聘人员总成绩，并于面试结束</w:t>
      </w:r>
      <w:r>
        <w:rPr>
          <w:rFonts w:hint="eastAsia" w:asciiTheme="minorEastAsia" w:hAnsiTheme="minorEastAsia" w:eastAsiaTheme="minorEastAsia"/>
          <w:color w:val="000000"/>
          <w:sz w:val="21"/>
          <w:szCs w:val="21"/>
        </w:rPr>
        <w:t>3个工作日书面提交《社会招聘应聘人员总成绩汇总表》。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b/>
        </w:rPr>
      </w:pPr>
      <w:r>
        <w:rPr>
          <w:b/>
        </w:rPr>
        <w:t>3 验收标准</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3.1</w:t>
      </w:r>
      <w:r>
        <w:rPr>
          <w:rFonts w:hint="eastAsia" w:asciiTheme="minorEastAsia" w:hAnsiTheme="minorEastAsia" w:eastAsiaTheme="minorEastAsia"/>
          <w:color w:val="000000"/>
          <w:sz w:val="21"/>
          <w:szCs w:val="21"/>
          <w:lang w:eastAsia="zh-CN"/>
        </w:rPr>
        <w:t>比选申请人</w:t>
      </w:r>
      <w:r>
        <w:rPr>
          <w:rFonts w:hint="eastAsia" w:asciiTheme="minorEastAsia" w:hAnsiTheme="minorEastAsia" w:eastAsiaTheme="minorEastAsia"/>
          <w:color w:val="000000"/>
          <w:sz w:val="21"/>
          <w:szCs w:val="21"/>
        </w:rPr>
        <w:t>须按“三”规定的流</w:t>
      </w:r>
      <w:r>
        <w:rPr>
          <w:rFonts w:asciiTheme="minorEastAsia" w:hAnsiTheme="minorEastAsia" w:eastAsiaTheme="minorEastAsia"/>
          <w:color w:val="000000"/>
          <w:sz w:val="21"/>
          <w:szCs w:val="21"/>
        </w:rPr>
        <w:t>程进行人员招聘，并确定提供给运营分公司的人员名单。</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3.2</w:t>
      </w:r>
      <w:r>
        <w:rPr>
          <w:rFonts w:asciiTheme="minorEastAsia" w:hAnsiTheme="minorEastAsia" w:eastAsiaTheme="minorEastAsia"/>
          <w:color w:val="000000"/>
          <w:sz w:val="21"/>
          <w:szCs w:val="21"/>
        </w:rPr>
        <w:t>运营分公司负责根据</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提供的《总成绩汇总表》等书面材料经运营分公司的背景调查以及运营分公司党委会讨论确定拟录用人员，并办理入职手续。遇以下情形的，取消拟录用资格，因取消拟录用资格而空缺的名额依次择优递补。</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a.</w:t>
      </w:r>
      <w:r>
        <w:rPr>
          <w:rFonts w:asciiTheme="minorEastAsia" w:hAnsiTheme="minorEastAsia" w:eastAsiaTheme="minorEastAsia"/>
          <w:color w:val="000000"/>
          <w:sz w:val="21"/>
          <w:szCs w:val="21"/>
        </w:rPr>
        <w:t>背景调查未通过的。</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b</w:t>
      </w:r>
      <w:r>
        <w:rPr>
          <w:rFonts w:asciiTheme="minorEastAsia" w:hAnsiTheme="minorEastAsia" w:eastAsiaTheme="minorEastAsia"/>
          <w:color w:val="000000"/>
          <w:sz w:val="21"/>
          <w:szCs w:val="21"/>
        </w:rPr>
        <w:t>.经运营分公司统一组织的入职体检结果不合格的。</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c.</w:t>
      </w:r>
      <w:r>
        <w:rPr>
          <w:rFonts w:asciiTheme="minorEastAsia" w:hAnsiTheme="minorEastAsia" w:eastAsiaTheme="minorEastAsia"/>
          <w:color w:val="000000"/>
          <w:sz w:val="21"/>
          <w:szCs w:val="21"/>
        </w:rPr>
        <w:t>拟录用人员放弃、拒绝体检、调档或入职的。</w:t>
      </w:r>
    </w:p>
    <w:p>
      <w:pPr>
        <w:spacing w:line="580" w:lineRule="exact"/>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d.</w:t>
      </w:r>
      <w:r>
        <w:rPr>
          <w:rFonts w:asciiTheme="minorEastAsia" w:hAnsiTheme="minorEastAsia" w:eastAsiaTheme="minorEastAsia"/>
          <w:color w:val="000000"/>
          <w:sz w:val="21"/>
          <w:szCs w:val="21"/>
        </w:rPr>
        <w:t>其他不符合招聘公告要求等情形的。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3.3</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招聘的人员数量根据</w:t>
      </w:r>
      <w:r>
        <w:rPr>
          <w:rFonts w:hint="eastAsia" w:asciiTheme="minorEastAsia" w:hAnsiTheme="minorEastAsia" w:eastAsiaTheme="minorEastAsia"/>
          <w:color w:val="000000"/>
          <w:sz w:val="21"/>
          <w:szCs w:val="21"/>
          <w:lang w:eastAsia="zh-CN"/>
        </w:rPr>
        <w:t>比选申请人</w:t>
      </w:r>
      <w:r>
        <w:rPr>
          <w:rFonts w:asciiTheme="minorEastAsia" w:hAnsiTheme="minorEastAsia" w:eastAsiaTheme="minorEastAsia"/>
          <w:color w:val="000000"/>
          <w:sz w:val="21"/>
          <w:szCs w:val="21"/>
        </w:rPr>
        <w:t>书面提交给运营分公司《总成绩汇总表》名单中与运营分公司签订的劳动合同人数计算。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jc w:val="both"/>
        <w:textAlignment w:val="auto"/>
        <w:outlineLvl w:val="9"/>
        <w:rPr>
          <w:b/>
        </w:rPr>
      </w:pPr>
      <w:r>
        <w:rPr>
          <w:b/>
        </w:rPr>
        <w:t>4 项目结算</w:t>
      </w:r>
    </w:p>
    <w:p>
      <w:pPr>
        <w:ind w:left="420" w:hanging="420" w:hangingChars="200"/>
        <w:rPr>
          <w:rFonts w:hint="eastAsia"/>
          <w:lang w:eastAsia="zh-CN"/>
        </w:rPr>
      </w:pPr>
      <w:r>
        <w:rPr>
          <w:rFonts w:asciiTheme="minorEastAsia" w:hAnsiTheme="minorEastAsia" w:eastAsiaTheme="minorEastAsia"/>
          <w:color w:val="000000"/>
          <w:sz w:val="21"/>
          <w:szCs w:val="21"/>
        </w:rPr>
        <w:t>单价以人计算，按批结算，付款金额根据验收的人数计算。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CG Times">
    <w:altName w:val="Times New Roman"/>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02AD7D7A"/>
    <w:rsid w:val="2C8D2097"/>
    <w:rsid w:val="3236365F"/>
    <w:rsid w:val="43001E08"/>
    <w:rsid w:val="6150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widowControl/>
      <w:spacing w:before="340" w:after="330" w:line="578" w:lineRule="atLeast"/>
      <w:jc w:val="left"/>
      <w:outlineLvl w:val="0"/>
    </w:pPr>
    <w:rPr>
      <w:b/>
      <w:bCs/>
      <w:kern w:val="44"/>
      <w:sz w:val="44"/>
      <w:szCs w:val="44"/>
    </w:rPr>
  </w:style>
  <w:style w:type="paragraph" w:styleId="3">
    <w:name w:val="heading 2"/>
    <w:basedOn w:val="1"/>
    <w:next w:val="1"/>
    <w:unhideWhenUsed/>
    <w:qFormat/>
    <w:uiPriority w:val="9"/>
    <w:pPr>
      <w:keepNext/>
      <w:keepLines/>
      <w:widowControl/>
      <w:spacing w:before="260" w:after="260" w:line="416" w:lineRule="atLeast"/>
      <w:jc w:val="left"/>
      <w:outlineLvl w:val="1"/>
    </w:pPr>
    <w:rPr>
      <w:rFonts w:ascii="Arial" w:hAnsi="Arial" w:eastAsia="黑体"/>
      <w:b/>
      <w:bCs/>
      <w:sz w:val="32"/>
      <w:szCs w:val="32"/>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uiPriority w:val="99"/>
    <w:pPr>
      <w:adjustRightInd w:val="0"/>
      <w:ind w:firstLine="420"/>
      <w:textAlignment w:val="baseline"/>
    </w:pPr>
  </w:style>
  <w:style w:type="paragraph" w:styleId="5">
    <w:name w:val="Plain Text"/>
    <w:basedOn w:val="1"/>
    <w:unhideWhenUsed/>
    <w:uiPriority w:val="99"/>
    <w:pPr>
      <w:spacing w:line="240" w:lineRule="auto"/>
    </w:pPr>
    <w:rPr>
      <w:rFonts w:ascii="宋体" w:hAnsi="Courier New"/>
      <w:kern w:val="0"/>
      <w:sz w:val="20"/>
      <w:szCs w:val="20"/>
    </w:rPr>
  </w:style>
  <w:style w:type="paragraph" w:styleId="6">
    <w:name w:val="Balloon Text"/>
    <w:basedOn w:val="1"/>
    <w:link w:val="14"/>
    <w:unhideWhenUsed/>
    <w:qFormat/>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Body Text Indent 3"/>
    <w:basedOn w:val="1"/>
    <w:unhideWhenUsed/>
    <w:uiPriority w:val="99"/>
    <w:pPr>
      <w:ind w:firstLine="492"/>
    </w:pPr>
  </w:style>
  <w:style w:type="table" w:styleId="12">
    <w:name w:val="Table Grid"/>
    <w:basedOn w:val="11"/>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10"/>
    <w:link w:val="2"/>
    <w:qFormat/>
    <w:uiPriority w:val="0"/>
    <w:rPr>
      <w:rFonts w:ascii="Times New Roman" w:hAnsi="Times New Roman" w:eastAsia="宋体" w:cs="Times New Roman"/>
      <w:b/>
      <w:bCs/>
      <w:kern w:val="44"/>
      <w:sz w:val="44"/>
      <w:szCs w:val="44"/>
    </w:rPr>
  </w:style>
  <w:style w:type="character" w:customStyle="1" w:styleId="14">
    <w:name w:val="批注框文本 Char"/>
    <w:basedOn w:val="10"/>
    <w:link w:val="6"/>
    <w:semiHidden/>
    <w:qFormat/>
    <w:uiPriority w:val="99"/>
    <w:rPr>
      <w:rFonts w:ascii="Times New Roman" w:hAnsi="Times New Roman" w:eastAsia="宋体" w:cs="Times New Roman"/>
      <w:sz w:val="18"/>
      <w:szCs w:val="18"/>
    </w:rPr>
  </w:style>
  <w:style w:type="character" w:customStyle="1" w:styleId="15">
    <w:name w:val="页眉 Char"/>
    <w:basedOn w:val="10"/>
    <w:link w:val="8"/>
    <w:qFormat/>
    <w:uiPriority w:val="99"/>
    <w:rPr>
      <w:rFonts w:ascii="Times New Roman" w:hAnsi="Times New Roman" w:eastAsia="宋体" w:cs="Times New Roman"/>
      <w:sz w:val="18"/>
      <w:szCs w:val="18"/>
    </w:rPr>
  </w:style>
  <w:style w:type="character" w:customStyle="1" w:styleId="16">
    <w:name w:val="页脚 Char"/>
    <w:basedOn w:val="10"/>
    <w:link w:val="7"/>
    <w:qFormat/>
    <w:uiPriority w:val="99"/>
    <w:rPr>
      <w:rFonts w:ascii="Times New Roman" w:hAnsi="Times New Roman" w:eastAsia="宋体" w:cs="Times New Roman"/>
      <w:sz w:val="18"/>
      <w:szCs w:val="18"/>
    </w:rPr>
  </w:style>
  <w:style w:type="paragraph" w:customStyle="1" w:styleId="17">
    <w:name w:val="正文缩进1"/>
    <w:basedOn w:val="1"/>
    <w:qFormat/>
    <w:uiPriority w:val="0"/>
    <w:pPr>
      <w:spacing w:line="240" w:lineRule="auto"/>
      <w:ind w:firstLine="420" w:firstLineChars="200"/>
    </w:pPr>
    <w:rPr>
      <w:sz w:val="21"/>
    </w:rPr>
  </w:style>
  <w:style w:type="paragraph" w:customStyle="1" w:styleId="1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0</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2019-08-02T06:16:25Z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