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E9" w:rsidRDefault="007A60E9" w:rsidP="007A60E9">
      <w:pPr>
        <w:pStyle w:val="1"/>
        <w:spacing w:before="0" w:after="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用户需求书</w:t>
      </w:r>
    </w:p>
    <w:p w:rsidR="007A60E9" w:rsidRPr="00B22C0E" w:rsidRDefault="007A60E9" w:rsidP="007A60E9">
      <w:pPr>
        <w:rPr>
          <w:rFonts w:ascii="宋体" w:eastAsia="宋体" w:hAnsi="宋体"/>
          <w:b/>
          <w:sz w:val="21"/>
          <w:szCs w:val="21"/>
        </w:rPr>
      </w:pPr>
      <w:r w:rsidRPr="00B22C0E">
        <w:rPr>
          <w:rFonts w:ascii="宋体" w:eastAsia="宋体" w:hAnsi="宋体" w:hint="eastAsia"/>
          <w:b/>
          <w:sz w:val="21"/>
          <w:szCs w:val="21"/>
        </w:rPr>
        <w:t>1.项目概况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1.1项目背景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宁波市轨道交通1号线一期、二期单线里程约94公里，工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务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人工巡道暂以高桥西-望春桥、望春桥-樱花公园、樱花公园-东环南路、东环南路-宝幢、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邬隘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-大碶 、大碶-霞浦六段区间进行作业划分。2号线一期单线里程63公里，工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务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人工巡道暂以机场-轻纺城、轻纺城-鼓楼、鼓楼-孔浦、孔浦-清水浦四段进行作业划分。工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务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人工巡检包括轨道和桥隧两个部分，人工巡检1作为一项常态化的委外巡检工作，在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运营维保中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较为重要，其作业质量影响着设备稳定和列车运行安全。因此，通过巡检管理系统的建立，管控人工巡道作业进度，对其巡检速度，位置，内容进行把控，从而完善巡检工作标准化管理，提高轨道、桥隧设备维保质量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1.2项目目标、预期成果及可行性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本项目通过建立人工巡检管理系统，达到人工巡道、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结构轨行区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检修作业规范化、标准化，把控巡检作业质量，提升委外管理水平。因工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务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轨道、结构检修巡检作业覆盖全线范围，故建议采取离线式巡检读取采集设备，在减少成本的同时，规避线缆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侵限风险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因此本项目具备可行性。</w:t>
      </w:r>
      <w:bookmarkStart w:id="0" w:name="_Toc516060583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杭州地铁实行有此项内容，项目具备可操作性。</w:t>
      </w:r>
    </w:p>
    <w:p w:rsidR="007A60E9" w:rsidRPr="000D1C9D" w:rsidRDefault="007A60E9" w:rsidP="007A60E9">
      <w:pPr>
        <w:rPr>
          <w:rFonts w:ascii="宋体" w:eastAsia="宋体" w:hAnsi="宋体"/>
          <w:b/>
          <w:sz w:val="21"/>
          <w:szCs w:val="21"/>
        </w:rPr>
      </w:pPr>
      <w:r w:rsidRPr="000D1C9D">
        <w:rPr>
          <w:rFonts w:ascii="宋体" w:eastAsia="宋体" w:hAnsi="宋体"/>
          <w:b/>
          <w:sz w:val="21"/>
          <w:szCs w:val="21"/>
        </w:rPr>
        <w:t>2.</w:t>
      </w:r>
      <w:r w:rsidRPr="000D1C9D">
        <w:rPr>
          <w:rFonts w:ascii="宋体" w:eastAsia="宋体" w:hAnsi="宋体" w:hint="eastAsia"/>
          <w:b/>
          <w:sz w:val="21"/>
          <w:szCs w:val="21"/>
        </w:rPr>
        <w:t>项目范围</w:t>
      </w:r>
      <w:bookmarkEnd w:id="0"/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2.1项目需求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本项目主要通过在1号线一期、二期、2号线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一期轨行区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沿线各站点、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场段设置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安装巡更点后依靠巡更棒达到</w:t>
      </w:r>
      <w:r w:rsidRPr="009D3F03">
        <w:rPr>
          <w:rFonts w:ascii="宋体" w:eastAsia="宋体" w:hAnsi="宋体"/>
          <w:color w:val="000000"/>
          <w:kern w:val="58"/>
          <w:sz w:val="21"/>
          <w:szCs w:val="21"/>
        </w:rPr>
        <w:t>移动自动识别</w:t>
      </w: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，进而管理工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务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人工巡检作业进度与效率。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2.2 项目技术要求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2.2.1设备仪器及软件要求：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>
        <w:rPr>
          <w:rFonts w:ascii="宋体" w:eastAsia="宋体" w:hAnsi="宋体" w:hint="eastAsia"/>
          <w:color w:val="000000"/>
          <w:kern w:val="58"/>
          <w:sz w:val="21"/>
          <w:szCs w:val="21"/>
        </w:rPr>
        <w:t>（1）</w:t>
      </w: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移动巡更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仪技术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参数要求：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 xml:space="preserve">    ①RFID技术自动感应；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 xml:space="preserve">    ②无需接触，读卡距离3-5cm；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 xml:space="preserve">    ③储存量大于等于65000条；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 xml:space="preserve">    ④防水，震，尘，耐低温；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 xml:space="preserve">    ⑤程序设计可具备人为破坏/电池自检/更换时间错误等记忆和记录等功能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 xml:space="preserve">    ⑥含备用电池一块；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>
        <w:rPr>
          <w:rFonts w:ascii="宋体" w:eastAsia="宋体" w:hAnsi="宋体" w:hint="eastAsia"/>
          <w:color w:val="000000"/>
          <w:kern w:val="58"/>
          <w:sz w:val="21"/>
          <w:szCs w:val="21"/>
        </w:rPr>
        <w:t>（2）</w:t>
      </w: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巡更地点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钮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技术参数要求：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 xml:space="preserve">    ①尺寸：72.5mm*38mm*9.6mm（长*宽*高）；</w:t>
      </w:r>
    </w:p>
    <w:p w:rsidR="007A60E9" w:rsidRPr="009D3F03" w:rsidRDefault="007A60E9" w:rsidP="007A60E9">
      <w:pPr>
        <w:ind w:firstLineChars="400" w:firstLine="84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②安装孔：直径4mm ；</w:t>
      </w:r>
    </w:p>
    <w:p w:rsidR="007A60E9" w:rsidRPr="009D3F03" w:rsidRDefault="007A60E9" w:rsidP="007A60E9">
      <w:pPr>
        <w:ind w:firstLineChars="400" w:firstLine="84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lastRenderedPageBreak/>
        <w:t>③材质：工程塑料；</w:t>
      </w:r>
    </w:p>
    <w:p w:rsidR="007A60E9" w:rsidRPr="009D3F03" w:rsidRDefault="007A60E9" w:rsidP="007A60E9">
      <w:pPr>
        <w:ind w:firstLineChars="400" w:firstLine="84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④内置不可修改的全球唯一的ID码；</w:t>
      </w:r>
    </w:p>
    <w:p w:rsidR="007A60E9" w:rsidRPr="009D3F03" w:rsidRDefault="007A60E9" w:rsidP="007A60E9">
      <w:pPr>
        <w:ind w:firstLineChars="400" w:firstLine="84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⑤配套安装基座；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>
        <w:rPr>
          <w:rFonts w:ascii="宋体" w:eastAsia="宋体" w:hAnsi="宋体" w:hint="eastAsia"/>
          <w:color w:val="000000"/>
          <w:kern w:val="58"/>
          <w:sz w:val="21"/>
          <w:szCs w:val="21"/>
        </w:rPr>
        <w:t>（3）</w:t>
      </w: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后台服务器及软件要求：</w:t>
      </w:r>
    </w:p>
    <w:p w:rsidR="007A60E9" w:rsidRPr="009D3F03" w:rsidRDefault="007A60E9" w:rsidP="007A60E9">
      <w:pPr>
        <w:ind w:firstLineChars="400" w:firstLine="84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①配备一台后台服务器</w:t>
      </w:r>
    </w:p>
    <w:p w:rsidR="007A60E9" w:rsidRPr="009D3F03" w:rsidRDefault="007A60E9" w:rsidP="007A60E9">
      <w:pPr>
        <w:ind w:firstLineChars="400" w:firstLine="84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②处理器：不低于3.9GHz；</w:t>
      </w:r>
    </w:p>
    <w:p w:rsidR="007A60E9" w:rsidRPr="009D3F03" w:rsidRDefault="007A60E9" w:rsidP="007A60E9">
      <w:pPr>
        <w:ind w:firstLineChars="400" w:firstLine="84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③内存/硬盘：8GB DDR4 2666MHz/128GB固态硬盘+1TB机械硬盘；</w:t>
      </w:r>
    </w:p>
    <w:p w:rsidR="007A60E9" w:rsidRPr="009D3F03" w:rsidRDefault="007A60E9" w:rsidP="007A60E9">
      <w:pPr>
        <w:ind w:firstLineChars="400" w:firstLine="84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④显卡：4GB独显；</w:t>
      </w:r>
    </w:p>
    <w:p w:rsidR="007A60E9" w:rsidRPr="009D3F03" w:rsidRDefault="007A60E9" w:rsidP="007A60E9">
      <w:pPr>
        <w:ind w:leftChars="200" w:left="440"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⑤配巡更系统专用软件操作简单人性化设计依据现场可多种计划查询、分析、浏览、图形分析、打印表格等设置等功能；</w:t>
      </w:r>
    </w:p>
    <w:p w:rsidR="007A60E9" w:rsidRPr="009D3F03" w:rsidRDefault="007A60E9" w:rsidP="007A60E9">
      <w:pPr>
        <w:ind w:firstLineChars="400" w:firstLine="84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⑥配备专业连接线三条，1TB移动硬盘一套；</w:t>
      </w:r>
    </w:p>
    <w:p w:rsidR="007A60E9" w:rsidRPr="009D3F03" w:rsidRDefault="007A60E9" w:rsidP="007A60E9">
      <w:pPr>
        <w:ind w:firstLineChars="400" w:firstLine="84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⑦配备打印机一台；</w:t>
      </w:r>
    </w:p>
    <w:p w:rsidR="007A60E9" w:rsidRPr="009D3F03" w:rsidRDefault="007A60E9" w:rsidP="007A60E9">
      <w:pPr>
        <w:ind w:firstLineChars="400" w:firstLine="84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⑧配备显示硬件及操作套装一套。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2.2.2 设备安装技术要求：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（1）该套系统采用离线接触储存式，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轨行区内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无线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缆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布设；</w:t>
      </w:r>
    </w:p>
    <w:p w:rsidR="007A60E9" w:rsidRPr="009D3F03" w:rsidRDefault="007A60E9" w:rsidP="007A60E9">
      <w:pPr>
        <w:ind w:firstLineChars="200" w:firstLine="420"/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（2）巡更地点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钮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安装牢固，安装位置不得高于人行站立面1.7米，不得低于人行站立面1.2米；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2.3 工程量及主要消耗料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表1 主要设施设备及软件清单</w:t>
      </w:r>
    </w:p>
    <w:tbl>
      <w:tblPr>
        <w:tblStyle w:val="a3"/>
        <w:tblW w:w="9192" w:type="dxa"/>
        <w:jc w:val="center"/>
        <w:tblLayout w:type="fixed"/>
        <w:tblLook w:val="04A0" w:firstRow="1" w:lastRow="0" w:firstColumn="1" w:lastColumn="0" w:noHBand="0" w:noVBand="1"/>
      </w:tblPr>
      <w:tblGrid>
        <w:gridCol w:w="756"/>
        <w:gridCol w:w="1920"/>
        <w:gridCol w:w="2002"/>
        <w:gridCol w:w="1440"/>
        <w:gridCol w:w="1652"/>
        <w:gridCol w:w="1422"/>
      </w:tblGrid>
      <w:tr w:rsidR="007A60E9" w:rsidRPr="009D3F03" w:rsidTr="00173ED8">
        <w:trPr>
          <w:jc w:val="center"/>
        </w:trPr>
        <w:tc>
          <w:tcPr>
            <w:tcW w:w="756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序号</w:t>
            </w:r>
          </w:p>
        </w:tc>
        <w:tc>
          <w:tcPr>
            <w:tcW w:w="192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设备</w:t>
            </w:r>
          </w:p>
        </w:tc>
        <w:tc>
          <w:tcPr>
            <w:tcW w:w="200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proofErr w:type="gramStart"/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线别</w:t>
            </w:r>
            <w:proofErr w:type="gramEnd"/>
          </w:p>
        </w:tc>
        <w:tc>
          <w:tcPr>
            <w:tcW w:w="144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技术参数</w:t>
            </w:r>
          </w:p>
        </w:tc>
        <w:tc>
          <w:tcPr>
            <w:tcW w:w="165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数量</w:t>
            </w:r>
          </w:p>
        </w:tc>
        <w:tc>
          <w:tcPr>
            <w:tcW w:w="142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备注</w:t>
            </w: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proofErr w:type="gramStart"/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920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移动巡更仪</w:t>
            </w:r>
          </w:p>
        </w:tc>
        <w:tc>
          <w:tcPr>
            <w:tcW w:w="200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1号线</w:t>
            </w:r>
          </w:p>
        </w:tc>
        <w:tc>
          <w:tcPr>
            <w:tcW w:w="1440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见2.2.1</w:t>
            </w:r>
          </w:p>
        </w:tc>
        <w:tc>
          <w:tcPr>
            <w:tcW w:w="165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16个</w:t>
            </w:r>
          </w:p>
        </w:tc>
        <w:tc>
          <w:tcPr>
            <w:tcW w:w="142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2号线一期</w:t>
            </w:r>
          </w:p>
        </w:tc>
        <w:tc>
          <w:tcPr>
            <w:tcW w:w="144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12个</w:t>
            </w:r>
          </w:p>
        </w:tc>
        <w:tc>
          <w:tcPr>
            <w:tcW w:w="142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合计</w:t>
            </w:r>
          </w:p>
        </w:tc>
        <w:tc>
          <w:tcPr>
            <w:tcW w:w="144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28个</w:t>
            </w:r>
          </w:p>
        </w:tc>
        <w:tc>
          <w:tcPr>
            <w:tcW w:w="142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二</w:t>
            </w:r>
          </w:p>
        </w:tc>
        <w:tc>
          <w:tcPr>
            <w:tcW w:w="1920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巡更地点钮</w:t>
            </w:r>
          </w:p>
        </w:tc>
        <w:tc>
          <w:tcPr>
            <w:tcW w:w="200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1号线</w:t>
            </w:r>
          </w:p>
        </w:tc>
        <w:tc>
          <w:tcPr>
            <w:tcW w:w="1440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见2.2.1</w:t>
            </w:r>
          </w:p>
        </w:tc>
        <w:tc>
          <w:tcPr>
            <w:tcW w:w="165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105个</w:t>
            </w:r>
          </w:p>
        </w:tc>
        <w:tc>
          <w:tcPr>
            <w:tcW w:w="142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2号线一期</w:t>
            </w:r>
          </w:p>
        </w:tc>
        <w:tc>
          <w:tcPr>
            <w:tcW w:w="144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75个</w:t>
            </w:r>
          </w:p>
        </w:tc>
        <w:tc>
          <w:tcPr>
            <w:tcW w:w="142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合计</w:t>
            </w:r>
          </w:p>
        </w:tc>
        <w:tc>
          <w:tcPr>
            <w:tcW w:w="144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180个</w:t>
            </w:r>
          </w:p>
        </w:tc>
        <w:tc>
          <w:tcPr>
            <w:tcW w:w="142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三</w:t>
            </w:r>
          </w:p>
        </w:tc>
        <w:tc>
          <w:tcPr>
            <w:tcW w:w="1920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bookmarkStart w:id="1" w:name="OLE_LINK1"/>
            <w:bookmarkStart w:id="2" w:name="OLE_LINK2"/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后台服务器及配套设备</w:t>
            </w:r>
            <w:bookmarkEnd w:id="1"/>
            <w:bookmarkEnd w:id="2"/>
          </w:p>
        </w:tc>
        <w:tc>
          <w:tcPr>
            <w:tcW w:w="200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1号线</w:t>
            </w:r>
          </w:p>
        </w:tc>
        <w:tc>
          <w:tcPr>
            <w:tcW w:w="1440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见2.2.2</w:t>
            </w:r>
          </w:p>
        </w:tc>
        <w:tc>
          <w:tcPr>
            <w:tcW w:w="165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1套</w:t>
            </w:r>
          </w:p>
        </w:tc>
        <w:tc>
          <w:tcPr>
            <w:tcW w:w="1422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服务器、软件及配套设施安置于1号线，对1号线</w:t>
            </w: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lastRenderedPageBreak/>
              <w:t>及2号线一期进行总体管理</w:t>
            </w: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2号线一期</w:t>
            </w:r>
          </w:p>
        </w:tc>
        <w:tc>
          <w:tcPr>
            <w:tcW w:w="144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0套</w:t>
            </w:r>
          </w:p>
        </w:tc>
        <w:tc>
          <w:tcPr>
            <w:tcW w:w="1422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合计</w:t>
            </w:r>
          </w:p>
        </w:tc>
        <w:tc>
          <w:tcPr>
            <w:tcW w:w="144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1套</w:t>
            </w:r>
          </w:p>
        </w:tc>
        <w:tc>
          <w:tcPr>
            <w:tcW w:w="1422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lastRenderedPageBreak/>
              <w:t>四</w:t>
            </w:r>
          </w:p>
        </w:tc>
        <w:tc>
          <w:tcPr>
            <w:tcW w:w="1920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软件要求</w:t>
            </w:r>
          </w:p>
        </w:tc>
        <w:tc>
          <w:tcPr>
            <w:tcW w:w="200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1号线</w:t>
            </w:r>
          </w:p>
        </w:tc>
        <w:tc>
          <w:tcPr>
            <w:tcW w:w="1440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见2.2.2</w:t>
            </w:r>
          </w:p>
        </w:tc>
        <w:tc>
          <w:tcPr>
            <w:tcW w:w="165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1套</w:t>
            </w:r>
          </w:p>
        </w:tc>
        <w:tc>
          <w:tcPr>
            <w:tcW w:w="1422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2号线一期</w:t>
            </w:r>
          </w:p>
        </w:tc>
        <w:tc>
          <w:tcPr>
            <w:tcW w:w="144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0套</w:t>
            </w:r>
          </w:p>
        </w:tc>
        <w:tc>
          <w:tcPr>
            <w:tcW w:w="1422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合计</w:t>
            </w:r>
          </w:p>
        </w:tc>
        <w:tc>
          <w:tcPr>
            <w:tcW w:w="144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1套</w:t>
            </w:r>
          </w:p>
        </w:tc>
        <w:tc>
          <w:tcPr>
            <w:tcW w:w="1422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</w:tbl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bookmarkStart w:id="3" w:name="_Toc516060584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表2 主要消耗料</w:t>
      </w:r>
    </w:p>
    <w:tbl>
      <w:tblPr>
        <w:tblStyle w:val="a3"/>
        <w:tblW w:w="9192" w:type="dxa"/>
        <w:jc w:val="center"/>
        <w:tblLayout w:type="fixed"/>
        <w:tblLook w:val="04A0" w:firstRow="1" w:lastRow="0" w:firstColumn="1" w:lastColumn="0" w:noHBand="0" w:noVBand="1"/>
      </w:tblPr>
      <w:tblGrid>
        <w:gridCol w:w="756"/>
        <w:gridCol w:w="1920"/>
        <w:gridCol w:w="1800"/>
        <w:gridCol w:w="1890"/>
        <w:gridCol w:w="1710"/>
        <w:gridCol w:w="1116"/>
      </w:tblGrid>
      <w:tr w:rsidR="007A60E9" w:rsidRPr="009D3F03" w:rsidTr="00173ED8">
        <w:trPr>
          <w:jc w:val="center"/>
        </w:trPr>
        <w:tc>
          <w:tcPr>
            <w:tcW w:w="756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序号</w:t>
            </w:r>
          </w:p>
        </w:tc>
        <w:tc>
          <w:tcPr>
            <w:tcW w:w="192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耗材名称</w:t>
            </w:r>
          </w:p>
        </w:tc>
        <w:tc>
          <w:tcPr>
            <w:tcW w:w="180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proofErr w:type="gramStart"/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线别</w:t>
            </w:r>
            <w:proofErr w:type="gramEnd"/>
          </w:p>
        </w:tc>
        <w:tc>
          <w:tcPr>
            <w:tcW w:w="189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技术参数</w:t>
            </w:r>
          </w:p>
        </w:tc>
        <w:tc>
          <w:tcPr>
            <w:tcW w:w="171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数量</w:t>
            </w:r>
          </w:p>
        </w:tc>
        <w:tc>
          <w:tcPr>
            <w:tcW w:w="1116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备注</w:t>
            </w: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proofErr w:type="gramStart"/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920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结构胶</w:t>
            </w:r>
          </w:p>
        </w:tc>
        <w:tc>
          <w:tcPr>
            <w:tcW w:w="180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1号线</w:t>
            </w:r>
          </w:p>
        </w:tc>
        <w:tc>
          <w:tcPr>
            <w:tcW w:w="1890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白色或透明色；</w:t>
            </w:r>
          </w:p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防水防霉耐老化；</w:t>
            </w:r>
          </w:p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300ml/枝</w:t>
            </w:r>
          </w:p>
        </w:tc>
        <w:tc>
          <w:tcPr>
            <w:tcW w:w="171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6枝</w:t>
            </w:r>
          </w:p>
        </w:tc>
        <w:tc>
          <w:tcPr>
            <w:tcW w:w="1116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2号线一期</w:t>
            </w:r>
          </w:p>
        </w:tc>
        <w:tc>
          <w:tcPr>
            <w:tcW w:w="189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4枝</w:t>
            </w:r>
          </w:p>
        </w:tc>
        <w:tc>
          <w:tcPr>
            <w:tcW w:w="1116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合计</w:t>
            </w:r>
          </w:p>
        </w:tc>
        <w:tc>
          <w:tcPr>
            <w:tcW w:w="189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10枝</w:t>
            </w:r>
          </w:p>
        </w:tc>
        <w:tc>
          <w:tcPr>
            <w:tcW w:w="1116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二</w:t>
            </w:r>
          </w:p>
        </w:tc>
        <w:tc>
          <w:tcPr>
            <w:tcW w:w="1920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安装底座</w:t>
            </w:r>
          </w:p>
        </w:tc>
        <w:tc>
          <w:tcPr>
            <w:tcW w:w="180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1号线</w:t>
            </w:r>
          </w:p>
        </w:tc>
        <w:tc>
          <w:tcPr>
            <w:tcW w:w="1890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不锈钢，尺寸与地点</w:t>
            </w:r>
            <w:proofErr w:type="gramStart"/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钮</w:t>
            </w:r>
            <w:proofErr w:type="gramEnd"/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配套</w:t>
            </w:r>
          </w:p>
        </w:tc>
        <w:tc>
          <w:tcPr>
            <w:tcW w:w="171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105套</w:t>
            </w:r>
          </w:p>
        </w:tc>
        <w:tc>
          <w:tcPr>
            <w:tcW w:w="1116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2号线一期</w:t>
            </w:r>
          </w:p>
        </w:tc>
        <w:tc>
          <w:tcPr>
            <w:tcW w:w="189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75套</w:t>
            </w:r>
          </w:p>
        </w:tc>
        <w:tc>
          <w:tcPr>
            <w:tcW w:w="1116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合计</w:t>
            </w:r>
          </w:p>
        </w:tc>
        <w:tc>
          <w:tcPr>
            <w:tcW w:w="189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180套</w:t>
            </w:r>
          </w:p>
        </w:tc>
        <w:tc>
          <w:tcPr>
            <w:tcW w:w="1116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三</w:t>
            </w:r>
          </w:p>
        </w:tc>
        <w:tc>
          <w:tcPr>
            <w:tcW w:w="1920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proofErr w:type="gramStart"/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自攻螺丝</w:t>
            </w:r>
            <w:proofErr w:type="gramEnd"/>
          </w:p>
        </w:tc>
        <w:tc>
          <w:tcPr>
            <w:tcW w:w="180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1号线</w:t>
            </w:r>
          </w:p>
        </w:tc>
        <w:tc>
          <w:tcPr>
            <w:tcW w:w="1890" w:type="dxa"/>
            <w:vMerge w:val="restart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304不锈钢圆头，长度8mm以上，直径3mm以上</w:t>
            </w:r>
          </w:p>
        </w:tc>
        <w:tc>
          <w:tcPr>
            <w:tcW w:w="171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230枚</w:t>
            </w:r>
          </w:p>
        </w:tc>
        <w:tc>
          <w:tcPr>
            <w:tcW w:w="1116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2号线一期</w:t>
            </w:r>
          </w:p>
        </w:tc>
        <w:tc>
          <w:tcPr>
            <w:tcW w:w="189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170枚</w:t>
            </w:r>
          </w:p>
        </w:tc>
        <w:tc>
          <w:tcPr>
            <w:tcW w:w="1116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  <w:tr w:rsidR="007A60E9" w:rsidRPr="009D3F03" w:rsidTr="00173ED8">
        <w:trPr>
          <w:jc w:val="center"/>
        </w:trPr>
        <w:tc>
          <w:tcPr>
            <w:tcW w:w="756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合计</w:t>
            </w:r>
          </w:p>
        </w:tc>
        <w:tc>
          <w:tcPr>
            <w:tcW w:w="1890" w:type="dxa"/>
            <w:vMerge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  <w:r w:rsidRPr="009D3F03">
              <w:rPr>
                <w:rFonts w:ascii="宋体" w:eastAsia="宋体" w:hAnsi="宋体" w:hint="eastAsia"/>
                <w:color w:val="000000"/>
                <w:kern w:val="58"/>
                <w:sz w:val="21"/>
                <w:szCs w:val="21"/>
              </w:rPr>
              <w:t>400枚</w:t>
            </w:r>
          </w:p>
        </w:tc>
        <w:tc>
          <w:tcPr>
            <w:tcW w:w="1116" w:type="dxa"/>
            <w:vAlign w:val="center"/>
          </w:tcPr>
          <w:p w:rsidR="007A60E9" w:rsidRPr="009D3F03" w:rsidRDefault="007A60E9" w:rsidP="00173ED8">
            <w:pPr>
              <w:widowControl/>
              <w:rPr>
                <w:rFonts w:ascii="宋体" w:eastAsia="宋体" w:hAnsi="宋体"/>
                <w:color w:val="000000"/>
                <w:kern w:val="58"/>
                <w:sz w:val="21"/>
                <w:szCs w:val="21"/>
              </w:rPr>
            </w:pPr>
          </w:p>
        </w:tc>
      </w:tr>
    </w:tbl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</w:p>
    <w:p w:rsidR="007A60E9" w:rsidRPr="008F3541" w:rsidRDefault="007A60E9" w:rsidP="007A60E9">
      <w:pPr>
        <w:rPr>
          <w:rFonts w:ascii="宋体" w:eastAsia="宋体" w:hAnsi="宋体"/>
          <w:b/>
          <w:sz w:val="21"/>
          <w:szCs w:val="21"/>
        </w:rPr>
      </w:pPr>
      <w:r w:rsidRPr="008F3541">
        <w:rPr>
          <w:rFonts w:ascii="宋体" w:eastAsia="宋体" w:hAnsi="宋体" w:hint="eastAsia"/>
          <w:b/>
          <w:sz w:val="21"/>
          <w:szCs w:val="21"/>
        </w:rPr>
        <w:t>3.项目实施</w:t>
      </w:r>
      <w:bookmarkEnd w:id="3"/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3.1项目归口管理组成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申请部门：工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务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维修中心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归口部门：工程部（节能办）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3.2项目施工特点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3.2.1施工期间需遵守宁波轨道交通运营分公司相关管理规定，办理出入手续，人员登记手续，等。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3.2.2施工期间不得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破坏非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施工区域设施设备及装修等，施工中需接受运营分公司归口单位的及相关部门的管理和监督，施工后需安排垃圾清运。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3.2.3严格按照要求堆放原材料及料具，现场要加强场容管理，使现场做到整齐、干净、节约、安全、施工秩序良好。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3.2.4注意安全用电，电线应理顺，不能乱拉乱挂，加强安全用电，统一使用标准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安全电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箱，教育职工自觉遵守安全用电制度和持证上岗制，防止用电事故发生。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lastRenderedPageBreak/>
        <w:t>3.2.5施工前须由负责人向施工人员进行技术交底和安全交底，未经教育者不得进入施工现场作业，进入施工场地着装统一整齐，穿戴劳动防护用品，防止造成人身伤害。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3.2.6在施工过程中，要严格落实施工方案的具体要求，每一道工序完成后均应自检，自检合格后向运营分公司报验，复验合格后方可进行下一道工序的施工。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3.2.7按工程进度编制材料需求计划表，力求准确可靠；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3.2.8专人定期对施工机械设备进行维修、保养，以保证其满足施工所需，所有进场设备必须保持良好状态；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3.2.9建立严格的原材料、成品和半成品进场验收制度，对采购进场的原材料及成品、半成品要由质量、技术有关人员组织进行验收，验收的内容包括：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（1）进场货物的品种、规格、数量是否符合采购计划；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（2）供应厂家的产品合格证或检验报告是否齐全；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（3）产品现场质量检查，并填写检查验收记录；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3.2.10按验收程序收货后分类分批堆放管理，做好标记。质量检查记录保存备查。对检查验收不合格的原材料、成品和半成品，要马上清除出场，不得使用。</w:t>
      </w:r>
    </w:p>
    <w:p w:rsidR="007A60E9" w:rsidRPr="008F3541" w:rsidRDefault="007A60E9" w:rsidP="007A60E9">
      <w:pPr>
        <w:rPr>
          <w:rFonts w:ascii="宋体" w:eastAsia="宋体" w:hAnsi="宋体"/>
          <w:b/>
          <w:sz w:val="21"/>
          <w:szCs w:val="21"/>
        </w:rPr>
      </w:pPr>
      <w:bookmarkStart w:id="4" w:name="_Toc516060585"/>
      <w:r w:rsidRPr="008F3541">
        <w:rPr>
          <w:rFonts w:ascii="宋体" w:eastAsia="宋体" w:hAnsi="宋体" w:hint="eastAsia"/>
          <w:b/>
          <w:sz w:val="21"/>
          <w:szCs w:val="21"/>
        </w:rPr>
        <w:t>4.质量保证</w:t>
      </w:r>
      <w:bookmarkEnd w:id="4"/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bookmarkStart w:id="5" w:name="_Toc516060586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4.1质量具体要求</w:t>
      </w:r>
      <w:bookmarkEnd w:id="5"/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4.1.1 项目实施单位应严格按照ISO9000质量体系的规定，制定相应的项目质量控制标准，以及制定工程各个阶段的切实可行的质量控制措施。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4.1.2 项目实施单位应保证主要部件的材质、规格与需求相符，在任何时候，运营分公司如发现材质、规格等不符合要求，项目实施单位应无偿更换，同时运营分公司保留进一步追究项目实施单位责任的权利。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bookmarkStart w:id="6" w:name="_Toc516060587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4.2验收标准</w:t>
      </w:r>
      <w:bookmarkEnd w:id="6"/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严格按技术要求进行施工，否则项目实施单位应予以返工，直至通过运营分公司验收为止。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工程完工后由运营分公司组织进行验收，按照国家相关验收标准执行。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bookmarkStart w:id="7" w:name="_Toc516060588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4.3质保期</w:t>
      </w:r>
      <w:bookmarkEnd w:id="7"/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4.3.1质保期自验收完成之日起计算，质量保证期为一年。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4.3.2质保期内项目实施单位的质保责任：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在上述规定的质保期内，因本身质量问题所出现的故障、缺陷等问题，项目实施单位应承</w:t>
      </w:r>
      <w:proofErr w:type="gramStart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担一切</w:t>
      </w:r>
      <w:proofErr w:type="gramEnd"/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责任，并根据故障情况进行维修。维修后维修部分应重新计算质保期，所发生的一切费用由项目实施单位承担；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在质保期内的损坏由项目实施单位负责维修和排除，运营分公司将积极予以配合；</w:t>
      </w:r>
    </w:p>
    <w:p w:rsidR="007A60E9" w:rsidRPr="009D3F03" w:rsidRDefault="007A60E9" w:rsidP="007A60E9">
      <w:pPr>
        <w:rPr>
          <w:rFonts w:ascii="宋体" w:eastAsia="宋体" w:hAnsi="宋体"/>
          <w:color w:val="000000"/>
          <w:kern w:val="58"/>
          <w:sz w:val="21"/>
          <w:szCs w:val="21"/>
        </w:rPr>
      </w:pPr>
      <w:r w:rsidRPr="009D3F03">
        <w:rPr>
          <w:rFonts w:ascii="宋体" w:eastAsia="宋体" w:hAnsi="宋体" w:hint="eastAsia"/>
          <w:color w:val="000000"/>
          <w:kern w:val="58"/>
          <w:sz w:val="21"/>
          <w:szCs w:val="21"/>
        </w:rPr>
        <w:t>项目实施单位在接报故障后24小时之内必须赶到故障现场，并完成故障处理；</w:t>
      </w:r>
    </w:p>
    <w:p w:rsidR="00F01A53" w:rsidRPr="007A60E9" w:rsidRDefault="00F01A53">
      <w:bookmarkStart w:id="8" w:name="_GoBack"/>
      <w:bookmarkEnd w:id="8"/>
    </w:p>
    <w:sectPr w:rsidR="00F01A53" w:rsidRPr="007A6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E9"/>
    <w:rsid w:val="000164A8"/>
    <w:rsid w:val="000337B2"/>
    <w:rsid w:val="00034CE2"/>
    <w:rsid w:val="0005157E"/>
    <w:rsid w:val="000610E2"/>
    <w:rsid w:val="000628AB"/>
    <w:rsid w:val="00063EB7"/>
    <w:rsid w:val="000709DD"/>
    <w:rsid w:val="0007730D"/>
    <w:rsid w:val="0008176A"/>
    <w:rsid w:val="00083D10"/>
    <w:rsid w:val="000869C4"/>
    <w:rsid w:val="000C04D2"/>
    <w:rsid w:val="000C2EB7"/>
    <w:rsid w:val="000E2225"/>
    <w:rsid w:val="000E50BC"/>
    <w:rsid w:val="000F386C"/>
    <w:rsid w:val="0010436A"/>
    <w:rsid w:val="001172DD"/>
    <w:rsid w:val="00121213"/>
    <w:rsid w:val="0012448A"/>
    <w:rsid w:val="00125E24"/>
    <w:rsid w:val="00143364"/>
    <w:rsid w:val="00151294"/>
    <w:rsid w:val="00174456"/>
    <w:rsid w:val="001A649D"/>
    <w:rsid w:val="001C032F"/>
    <w:rsid w:val="001C5028"/>
    <w:rsid w:val="001C5A8C"/>
    <w:rsid w:val="001D1368"/>
    <w:rsid w:val="001D6857"/>
    <w:rsid w:val="001F1486"/>
    <w:rsid w:val="001F7BEC"/>
    <w:rsid w:val="00214650"/>
    <w:rsid w:val="00217843"/>
    <w:rsid w:val="002226CB"/>
    <w:rsid w:val="00224E4F"/>
    <w:rsid w:val="00240513"/>
    <w:rsid w:val="0025268A"/>
    <w:rsid w:val="00254545"/>
    <w:rsid w:val="002551E2"/>
    <w:rsid w:val="00262B12"/>
    <w:rsid w:val="002808D7"/>
    <w:rsid w:val="002831A0"/>
    <w:rsid w:val="0028642B"/>
    <w:rsid w:val="00293DDA"/>
    <w:rsid w:val="002A6D87"/>
    <w:rsid w:val="002B2385"/>
    <w:rsid w:val="002B64E6"/>
    <w:rsid w:val="002C6BF0"/>
    <w:rsid w:val="002D26F7"/>
    <w:rsid w:val="002D384A"/>
    <w:rsid w:val="002D4E10"/>
    <w:rsid w:val="002E0EE2"/>
    <w:rsid w:val="002E3C70"/>
    <w:rsid w:val="00302F83"/>
    <w:rsid w:val="00304DE1"/>
    <w:rsid w:val="003150F4"/>
    <w:rsid w:val="0032221A"/>
    <w:rsid w:val="003268BE"/>
    <w:rsid w:val="00334A74"/>
    <w:rsid w:val="00343A00"/>
    <w:rsid w:val="003450AD"/>
    <w:rsid w:val="00352747"/>
    <w:rsid w:val="00362B2E"/>
    <w:rsid w:val="00382BFF"/>
    <w:rsid w:val="003853EC"/>
    <w:rsid w:val="00397B88"/>
    <w:rsid w:val="00397FF9"/>
    <w:rsid w:val="003A785F"/>
    <w:rsid w:val="003B7E84"/>
    <w:rsid w:val="003C25A8"/>
    <w:rsid w:val="003D37D7"/>
    <w:rsid w:val="003D4B32"/>
    <w:rsid w:val="003D4D69"/>
    <w:rsid w:val="003E73CB"/>
    <w:rsid w:val="003F0721"/>
    <w:rsid w:val="004213AB"/>
    <w:rsid w:val="004239D5"/>
    <w:rsid w:val="00426060"/>
    <w:rsid w:val="00434399"/>
    <w:rsid w:val="00441717"/>
    <w:rsid w:val="00453C4C"/>
    <w:rsid w:val="00457B1F"/>
    <w:rsid w:val="00461BFB"/>
    <w:rsid w:val="00462DF4"/>
    <w:rsid w:val="0047420A"/>
    <w:rsid w:val="004A7E39"/>
    <w:rsid w:val="004B43DA"/>
    <w:rsid w:val="004B7E9E"/>
    <w:rsid w:val="004C65D5"/>
    <w:rsid w:val="004D31AC"/>
    <w:rsid w:val="004D7494"/>
    <w:rsid w:val="004D7F89"/>
    <w:rsid w:val="004E386C"/>
    <w:rsid w:val="004E7219"/>
    <w:rsid w:val="004F7458"/>
    <w:rsid w:val="00514D24"/>
    <w:rsid w:val="005242C1"/>
    <w:rsid w:val="00526BFE"/>
    <w:rsid w:val="0053405A"/>
    <w:rsid w:val="005368AF"/>
    <w:rsid w:val="00561C1C"/>
    <w:rsid w:val="00563970"/>
    <w:rsid w:val="00581B36"/>
    <w:rsid w:val="00585A05"/>
    <w:rsid w:val="00597A6A"/>
    <w:rsid w:val="005A337E"/>
    <w:rsid w:val="005A3E8B"/>
    <w:rsid w:val="005A5923"/>
    <w:rsid w:val="005A5969"/>
    <w:rsid w:val="005B77BA"/>
    <w:rsid w:val="005C6A51"/>
    <w:rsid w:val="005E3226"/>
    <w:rsid w:val="005F5EED"/>
    <w:rsid w:val="00600592"/>
    <w:rsid w:val="00602E77"/>
    <w:rsid w:val="00611A96"/>
    <w:rsid w:val="00623852"/>
    <w:rsid w:val="0064062A"/>
    <w:rsid w:val="00652B18"/>
    <w:rsid w:val="0065303F"/>
    <w:rsid w:val="00661C65"/>
    <w:rsid w:val="00670506"/>
    <w:rsid w:val="00673F8E"/>
    <w:rsid w:val="006977BD"/>
    <w:rsid w:val="006A36AE"/>
    <w:rsid w:val="006A6F2D"/>
    <w:rsid w:val="006B7A35"/>
    <w:rsid w:val="006D231E"/>
    <w:rsid w:val="006E5F70"/>
    <w:rsid w:val="006F7E1D"/>
    <w:rsid w:val="0070661B"/>
    <w:rsid w:val="00710D72"/>
    <w:rsid w:val="007256D7"/>
    <w:rsid w:val="00734698"/>
    <w:rsid w:val="007367C9"/>
    <w:rsid w:val="00740404"/>
    <w:rsid w:val="00746CEE"/>
    <w:rsid w:val="00747F0D"/>
    <w:rsid w:val="00764185"/>
    <w:rsid w:val="00765B66"/>
    <w:rsid w:val="007A60E9"/>
    <w:rsid w:val="007B0500"/>
    <w:rsid w:val="007D3D1C"/>
    <w:rsid w:val="007D4942"/>
    <w:rsid w:val="007F2446"/>
    <w:rsid w:val="0080120F"/>
    <w:rsid w:val="008049DE"/>
    <w:rsid w:val="00812354"/>
    <w:rsid w:val="0081477E"/>
    <w:rsid w:val="00835F4E"/>
    <w:rsid w:val="0087499D"/>
    <w:rsid w:val="0087522C"/>
    <w:rsid w:val="00885589"/>
    <w:rsid w:val="008B092F"/>
    <w:rsid w:val="008B20A1"/>
    <w:rsid w:val="008B7720"/>
    <w:rsid w:val="008C19BE"/>
    <w:rsid w:val="008F69A1"/>
    <w:rsid w:val="00914ABE"/>
    <w:rsid w:val="009266AD"/>
    <w:rsid w:val="00927124"/>
    <w:rsid w:val="00936201"/>
    <w:rsid w:val="009412FF"/>
    <w:rsid w:val="009548DA"/>
    <w:rsid w:val="00961C6B"/>
    <w:rsid w:val="00977CCB"/>
    <w:rsid w:val="009A181D"/>
    <w:rsid w:val="009C0F17"/>
    <w:rsid w:val="009D2878"/>
    <w:rsid w:val="009D4878"/>
    <w:rsid w:val="009E2229"/>
    <w:rsid w:val="009E486D"/>
    <w:rsid w:val="009E54F6"/>
    <w:rsid w:val="00A006B9"/>
    <w:rsid w:val="00A13A72"/>
    <w:rsid w:val="00A20EF6"/>
    <w:rsid w:val="00A21A65"/>
    <w:rsid w:val="00A337E7"/>
    <w:rsid w:val="00A369D0"/>
    <w:rsid w:val="00A45BF5"/>
    <w:rsid w:val="00A51D51"/>
    <w:rsid w:val="00A5328A"/>
    <w:rsid w:val="00A62879"/>
    <w:rsid w:val="00A670B9"/>
    <w:rsid w:val="00A82E56"/>
    <w:rsid w:val="00AB4976"/>
    <w:rsid w:val="00AC00DD"/>
    <w:rsid w:val="00AC6187"/>
    <w:rsid w:val="00AD77FD"/>
    <w:rsid w:val="00AF1250"/>
    <w:rsid w:val="00AF5F27"/>
    <w:rsid w:val="00AF6898"/>
    <w:rsid w:val="00B05512"/>
    <w:rsid w:val="00B13707"/>
    <w:rsid w:val="00B23B13"/>
    <w:rsid w:val="00B240CE"/>
    <w:rsid w:val="00B73CD7"/>
    <w:rsid w:val="00B77C47"/>
    <w:rsid w:val="00B81A0F"/>
    <w:rsid w:val="00B84A2E"/>
    <w:rsid w:val="00B85C93"/>
    <w:rsid w:val="00B90232"/>
    <w:rsid w:val="00BA1020"/>
    <w:rsid w:val="00BA400E"/>
    <w:rsid w:val="00BA482D"/>
    <w:rsid w:val="00BA61EB"/>
    <w:rsid w:val="00BA627D"/>
    <w:rsid w:val="00BC16A1"/>
    <w:rsid w:val="00BF464C"/>
    <w:rsid w:val="00C02166"/>
    <w:rsid w:val="00C03164"/>
    <w:rsid w:val="00C32565"/>
    <w:rsid w:val="00C46763"/>
    <w:rsid w:val="00C512BA"/>
    <w:rsid w:val="00C554C3"/>
    <w:rsid w:val="00C744B2"/>
    <w:rsid w:val="00C80C29"/>
    <w:rsid w:val="00CA0D8D"/>
    <w:rsid w:val="00CA5958"/>
    <w:rsid w:val="00CE5BBA"/>
    <w:rsid w:val="00CE6A2B"/>
    <w:rsid w:val="00CF4016"/>
    <w:rsid w:val="00D10B6E"/>
    <w:rsid w:val="00D30ED9"/>
    <w:rsid w:val="00D3577A"/>
    <w:rsid w:val="00D36722"/>
    <w:rsid w:val="00D44841"/>
    <w:rsid w:val="00D507B0"/>
    <w:rsid w:val="00D564A3"/>
    <w:rsid w:val="00D612C1"/>
    <w:rsid w:val="00D73BD2"/>
    <w:rsid w:val="00D91065"/>
    <w:rsid w:val="00DA60DC"/>
    <w:rsid w:val="00DA6AD5"/>
    <w:rsid w:val="00DD149B"/>
    <w:rsid w:val="00DE1B78"/>
    <w:rsid w:val="00DF5F0B"/>
    <w:rsid w:val="00E01071"/>
    <w:rsid w:val="00E03B52"/>
    <w:rsid w:val="00E04E33"/>
    <w:rsid w:val="00E05A71"/>
    <w:rsid w:val="00E13967"/>
    <w:rsid w:val="00E163F3"/>
    <w:rsid w:val="00E305E7"/>
    <w:rsid w:val="00E4301B"/>
    <w:rsid w:val="00E524F3"/>
    <w:rsid w:val="00E7614F"/>
    <w:rsid w:val="00E86065"/>
    <w:rsid w:val="00E93701"/>
    <w:rsid w:val="00EA5560"/>
    <w:rsid w:val="00EC0391"/>
    <w:rsid w:val="00EF5A85"/>
    <w:rsid w:val="00F01A53"/>
    <w:rsid w:val="00F054AE"/>
    <w:rsid w:val="00F070E6"/>
    <w:rsid w:val="00F164E8"/>
    <w:rsid w:val="00F21966"/>
    <w:rsid w:val="00F323D4"/>
    <w:rsid w:val="00F4038E"/>
    <w:rsid w:val="00F571AB"/>
    <w:rsid w:val="00F64564"/>
    <w:rsid w:val="00F75B59"/>
    <w:rsid w:val="00F84E9D"/>
    <w:rsid w:val="00F87308"/>
    <w:rsid w:val="00F87FB1"/>
    <w:rsid w:val="00FB32A3"/>
    <w:rsid w:val="00FC00E6"/>
    <w:rsid w:val="00FD191D"/>
    <w:rsid w:val="00FE04CB"/>
    <w:rsid w:val="00FE35B6"/>
    <w:rsid w:val="00FE5357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17C94-46B9-477A-AF1F-860326F5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E9"/>
    <w:pPr>
      <w:spacing w:after="160" w:line="252" w:lineRule="auto"/>
      <w:jc w:val="both"/>
    </w:pPr>
    <w:rPr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7A60E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A60E9"/>
    <w:rPr>
      <w:rFonts w:asciiTheme="majorHAnsi" w:eastAsiaTheme="majorEastAsia" w:hAnsiTheme="majorHAnsi" w:cstheme="majorBidi"/>
      <w:b/>
      <w:bCs/>
      <w:caps/>
      <w:spacing w:val="4"/>
      <w:kern w:val="0"/>
      <w:sz w:val="28"/>
      <w:szCs w:val="28"/>
    </w:rPr>
  </w:style>
  <w:style w:type="table" w:styleId="a3">
    <w:name w:val="Table Grid"/>
    <w:basedOn w:val="a1"/>
    <w:uiPriority w:val="59"/>
    <w:qFormat/>
    <w:rsid w:val="007A60E9"/>
    <w:pPr>
      <w:widowControl w:val="0"/>
      <w:spacing w:after="160" w:line="252" w:lineRule="auto"/>
      <w:jc w:val="both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429</Words>
  <Characters>2446</Characters>
  <Application>Microsoft Office Word</Application>
  <DocSecurity>0</DocSecurity>
  <Lines>20</Lines>
  <Paragraphs>5</Paragraphs>
  <ScaleCrop>false</ScaleCrop>
  <Company>Sky123.Org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朱金波</dc:creator>
  <cp:keywords/>
  <dc:description/>
  <cp:lastModifiedBy>朱金波</cp:lastModifiedBy>
  <cp:revision>1</cp:revision>
  <dcterms:created xsi:type="dcterms:W3CDTF">2019-10-21T01:51:00Z</dcterms:created>
  <dcterms:modified xsi:type="dcterms:W3CDTF">2019-10-21T01:51:00Z</dcterms:modified>
</cp:coreProperties>
</file>