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技术要求及数量表</w:t>
      </w:r>
    </w:p>
    <w:tbl>
      <w:tblPr>
        <w:tblStyle w:val="5"/>
        <w:tblW w:w="1455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0"/>
        <w:gridCol w:w="6378"/>
        <w:gridCol w:w="993"/>
        <w:gridCol w:w="1401"/>
        <w:gridCol w:w="1196"/>
        <w:gridCol w:w="930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  <w:jc w:val="center"/>
        </w:trPr>
        <w:tc>
          <w:tcPr>
            <w:tcW w:w="960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0" w:name="_Toc442516089"/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6378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993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401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参考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或相当于如下品牌</w:t>
            </w:r>
          </w:p>
        </w:tc>
        <w:tc>
          <w:tcPr>
            <w:tcW w:w="1196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单位/厂家</w:t>
            </w:r>
          </w:p>
        </w:tc>
        <w:tc>
          <w:tcPr>
            <w:tcW w:w="930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总数量</w:t>
            </w:r>
          </w:p>
        </w:tc>
        <w:tc>
          <w:tcPr>
            <w:tcW w:w="1134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  <w:jc w:val="center"/>
        </w:trPr>
        <w:tc>
          <w:tcPr>
            <w:tcW w:w="960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0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普通纱窗</w:t>
            </w:r>
          </w:p>
        </w:tc>
        <w:tc>
          <w:tcPr>
            <w:tcW w:w="6378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纱网：                                             　　　　　　　　　　　　1、采用常规尼龙材料，经过低压平织而成。具有轻盈，防风，抗腐蚀等性能。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2、孔径： 网布的开孔率达到85%，网布孔径尺寸：18*16目。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纱直径：经线0.25mm，横线0.25mm                                             纱窗铝材及表面处理：                               　　　　　　　　　　　 1、纱窗外框为铝合金（6063—T5）有SGS检测铝材6063-T5报告，所有部位的铝材厚度  ≥  1.0mm.   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2、材料表面处理为无铅粉末喷涂处理，需达到国家环保要求。                                                               配件：                                                                                                                   纱窗配件为塑料配件，塑料材质为尼龙/ABS新料。                                         纱窗整体性能要求：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具备防蚊加防护的功能，使用方法简易,安装简易，免打孔，不破坏原有窗体，纱窗经久耐用，适合推拉窗窗型，具有可拆洗，防蚊一体的功能性纱窗。</w:t>
            </w:r>
          </w:p>
          <w:p>
            <w:pPr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 xml:space="preserve">须提供厂家授权书复印件需加盖比选申请人公章，原件备查 </w:t>
            </w:r>
          </w:p>
        </w:tc>
        <w:tc>
          <w:tcPr>
            <w:tcW w:w="993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平方米</w:t>
            </w:r>
          </w:p>
        </w:tc>
        <w:tc>
          <w:tcPr>
            <w:tcW w:w="1401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钜峰、特耐利德、摩尔戴克、众冉</w:t>
            </w:r>
          </w:p>
        </w:tc>
        <w:tc>
          <w:tcPr>
            <w:tcW w:w="1196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950</w:t>
            </w:r>
          </w:p>
        </w:tc>
        <w:tc>
          <w:tcPr>
            <w:tcW w:w="1134" w:type="dxa"/>
            <w:tcBorders>
              <w:top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品牌指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纱网的品牌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0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隐形纱窗</w:t>
            </w:r>
          </w:p>
        </w:tc>
        <w:tc>
          <w:tcPr>
            <w:tcW w:w="6378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纱网：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1、采用无机纤维阻燃透视网布，耐150℃的高温，具有绝缘，绝热，隔音，耐老化等性能。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2、孔径： 网布的开孔率达到80%，孔径尺寸：18*18目。纱直径：经线0.28mm，横线0.28mm。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3、SGS纱网检测报告：1纱网的REACH环保检测报告，2纱网的紫外线老化测试报告（其中ISO4892-3：2013、UVA-340需满足测试等级为4-5级），3纱网的拉伸强度测试报告，4纱网的阻燃测试B3等级报告。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纱窗铝材及表面处理：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1、纱窗外框为铝合金（6063—T5）有SGS检测铝材6063-T5报告，所有部位的铝材厚度  ≥  1.0mm。  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2、材料表面处理为无铅粉末喷涂处理，需达到国家环保要求，内部卷管铝材表面处理为：阳极氧化。                                                      配件：                                                                                                                   1、纱窗配件为塑料材质为ABS，PP，PE及尼龙新料。提供SGS材质检测报告。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2、碳素弹簧钢丝表面需镀锌处理。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3、边缘防风材质为:改性透明PVC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4、配件中的轴承为不锈钢材质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5、配件与铝材固定用同色螺丝，以显示一体性。 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纱窗整体性能要求：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1、纱窗具有可拆洗功能，纱网卷筒部分与框体可分离/拼装。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2、双拉杆组合设计：由两个拉杆组成，随拉随停功能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3、内置毛刷清洁系统，可以将纱网表面都可以得到清洁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4、旋转微调节系统：可调节纱窗开关松紧度，更加轻松方便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5、抗风装置，需用透明新料PE片与纱网双线缝制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须提供厂家授权书原件                 </w:t>
            </w:r>
          </w:p>
          <w:p>
            <w:pPr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须提供厂家授权书复印件需加盖比选申请人公章，原件备查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米</w:t>
            </w:r>
          </w:p>
        </w:tc>
        <w:tc>
          <w:tcPr>
            <w:tcW w:w="1401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钜峰、特耐利德、摩尔戴克、众冉</w:t>
            </w:r>
          </w:p>
        </w:tc>
        <w:tc>
          <w:tcPr>
            <w:tcW w:w="1196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1450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品牌指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纱网的品牌</w:t>
            </w:r>
          </w:p>
        </w:tc>
      </w:tr>
    </w:tbl>
    <w:p>
      <w:pPr>
        <w:jc w:val="center"/>
        <w:rPr>
          <w:rFonts w:hAnsi="宋体"/>
          <w:b/>
          <w:szCs w:val="21"/>
        </w:rPr>
      </w:pPr>
    </w:p>
    <w:p>
      <w:pPr>
        <w:numPr>
          <w:ilvl w:val="0"/>
          <w:numId w:val="2"/>
        </w:numPr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本次纱窗安装分布宁波轨道交通各个车站、停车场及车辆段,地点分散且分批安装时间跨度大，请比选申请人在报价时充分考虑运费及各类安装人工成本，实际安装数量根据后期测量安装面积为准。</w:t>
      </w:r>
    </w:p>
    <w:p>
      <w:pPr>
        <w:numPr>
          <w:ilvl w:val="0"/>
          <w:numId w:val="2"/>
        </w:numPr>
      </w:pPr>
      <w:r>
        <w:rPr>
          <w:rFonts w:hint="eastAsia" w:ascii="宋体" w:hAnsi="宋体"/>
          <w:color w:val="000000"/>
          <w:kern w:val="58"/>
          <w:sz w:val="21"/>
          <w:szCs w:val="20"/>
        </w:rPr>
        <w:t>评审现场需提供成品小样，样品尺寸（宽300MM*高400MM）或以上，并可现场示范。</w:t>
      </w:r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36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C4D3D35"/>
    <w:multiLevelType w:val="multilevel"/>
    <w:tmpl w:val="2C4D3D3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240" w:lineRule="auto"/>
    </w:pPr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2020-07-08T00:48:33Z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