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after="12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技术要求及数量表</w:t>
      </w:r>
    </w:p>
    <w:tbl>
      <w:tblPr>
        <w:tblStyle w:val="5"/>
        <w:tblW w:w="14552" w:type="dxa"/>
        <w:jc w:val="center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560"/>
        <w:gridCol w:w="6378"/>
        <w:gridCol w:w="993"/>
        <w:gridCol w:w="1401"/>
        <w:gridCol w:w="1196"/>
        <w:gridCol w:w="930"/>
        <w:gridCol w:w="1134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68" w:hRule="atLeast"/>
          <w:jc w:val="center"/>
        </w:trPr>
        <w:tc>
          <w:tcPr>
            <w:tcW w:w="960" w:type="dxa"/>
            <w:vMerge w:val="restart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  <w:bookmarkStart w:id="0" w:name="_Toc442516089"/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</w:rPr>
              <w:t>序号</w:t>
            </w:r>
          </w:p>
        </w:tc>
        <w:tc>
          <w:tcPr>
            <w:tcW w:w="1560" w:type="dxa"/>
            <w:vMerge w:val="restart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</w:rPr>
              <w:t>物资名称</w:t>
            </w:r>
          </w:p>
        </w:tc>
        <w:tc>
          <w:tcPr>
            <w:tcW w:w="6378" w:type="dxa"/>
            <w:vMerge w:val="restart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/>
                <w:b/>
                <w:color w:val="00000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 w:val="21"/>
                <w:szCs w:val="21"/>
              </w:rPr>
              <w:t>参考规格、技术参数及要求</w:t>
            </w:r>
          </w:p>
        </w:tc>
        <w:tc>
          <w:tcPr>
            <w:tcW w:w="993" w:type="dxa"/>
            <w:vMerge w:val="restart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</w:rPr>
              <w:t>单位</w:t>
            </w:r>
          </w:p>
        </w:tc>
        <w:tc>
          <w:tcPr>
            <w:tcW w:w="1401" w:type="dxa"/>
            <w:vMerge w:val="restart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</w:rPr>
              <w:t>参考</w:t>
            </w: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eastAsia="zh-CN"/>
              </w:rPr>
              <w:t>或相当于如下品牌</w:t>
            </w:r>
          </w:p>
        </w:tc>
        <w:tc>
          <w:tcPr>
            <w:tcW w:w="1196" w:type="dxa"/>
            <w:vMerge w:val="restart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</w:rPr>
              <w:t>单位/厂家</w:t>
            </w:r>
          </w:p>
        </w:tc>
        <w:tc>
          <w:tcPr>
            <w:tcW w:w="930" w:type="dxa"/>
            <w:vMerge w:val="restart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</w:rPr>
              <w:t>总数量</w:t>
            </w:r>
          </w:p>
        </w:tc>
        <w:tc>
          <w:tcPr>
            <w:tcW w:w="1134" w:type="dxa"/>
            <w:vMerge w:val="restart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468" w:hRule="atLeast"/>
          <w:jc w:val="center"/>
        </w:trPr>
        <w:tc>
          <w:tcPr>
            <w:tcW w:w="960" w:type="dxa"/>
            <w:vMerge w:val="continue"/>
            <w:tcBorders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560" w:type="dxa"/>
            <w:vMerge w:val="continue"/>
            <w:tcBorders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6378" w:type="dxa"/>
            <w:vMerge w:val="continue"/>
            <w:tcBorders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993" w:type="dxa"/>
            <w:vMerge w:val="continue"/>
            <w:tcBorders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401" w:type="dxa"/>
            <w:vMerge w:val="continue"/>
            <w:tcBorders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96" w:type="dxa"/>
            <w:vMerge w:val="continue"/>
            <w:tcBorders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930" w:type="dxa"/>
            <w:vMerge w:val="continue"/>
            <w:tcBorders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134" w:type="dxa"/>
            <w:vMerge w:val="continue"/>
            <w:tcBorders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60" w:type="dxa"/>
            <w:tcBorders>
              <w:top w:val="double" w:color="auto" w:sz="4" w:space="0"/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double" w:color="auto" w:sz="4" w:space="0"/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普通纱窗</w:t>
            </w:r>
          </w:p>
        </w:tc>
        <w:tc>
          <w:tcPr>
            <w:tcW w:w="6378" w:type="dxa"/>
            <w:tcBorders>
              <w:top w:val="double" w:color="auto" w:sz="4" w:space="0"/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纱网：                                             　　　　　　　　　　　　1、采用常规尼龙材料，经过低压平织而成。具有轻盈，防风，抗腐蚀等性能。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2、孔径： 网布的开孔率达到85%，网布孔径尺寸：18*16目。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 xml:space="preserve">纱直径：经线0.25mm，横线0.25mm                                             纱窗铝材及表面处理：                               　　　　　　　　　　　 1、纱窗外框为铝合金（6063—T5）有SGS检测铝材6063-T5报告，所有部位的铝材厚度  ≥  1.0mm.      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2、材料表面处理为无铅粉末喷涂处理，需达到国家环保要求。                                                               配件：                                                                                                                   纱窗配件为塑料配件，塑料材质为尼龙/ABS新料。                                         纱窗整体性能要求：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具备防蚊加防护的功能，使用方法简易,安装简易，免打孔，不破坏原有窗体，纱窗经久耐用，适合推拉窗窗型，具有可拆洗，防蚊一体的功能性纱窗。</w:t>
            </w:r>
          </w:p>
          <w:p>
            <w:pPr>
              <w:jc w:val="left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Arial"/>
                <w:b/>
                <w:sz w:val="21"/>
                <w:szCs w:val="21"/>
              </w:rPr>
              <w:t xml:space="preserve">须提供厂家授权书复印件需加盖比选申请人公章，原件备查 </w:t>
            </w:r>
          </w:p>
        </w:tc>
        <w:tc>
          <w:tcPr>
            <w:tcW w:w="993" w:type="dxa"/>
            <w:tcBorders>
              <w:top w:val="double" w:color="auto" w:sz="4" w:space="0"/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平方米</w:t>
            </w:r>
          </w:p>
        </w:tc>
        <w:tc>
          <w:tcPr>
            <w:tcW w:w="1401" w:type="dxa"/>
            <w:tcBorders>
              <w:top w:val="double" w:color="auto" w:sz="4" w:space="0"/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钜峰、特耐利德、摩尔戴克、众冉</w:t>
            </w:r>
          </w:p>
        </w:tc>
        <w:tc>
          <w:tcPr>
            <w:tcW w:w="1196" w:type="dxa"/>
            <w:tcBorders>
              <w:top w:val="double" w:color="auto" w:sz="4" w:space="0"/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double" w:color="auto" w:sz="4" w:space="0"/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950</w:t>
            </w:r>
          </w:p>
        </w:tc>
        <w:tc>
          <w:tcPr>
            <w:tcW w:w="1134" w:type="dxa"/>
            <w:tcBorders>
              <w:top w:val="double" w:color="auto" w:sz="4" w:space="0"/>
              <w:bottom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eastAsia="zh-CN"/>
              </w:rPr>
              <w:t>品牌指</w:t>
            </w: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</w:rPr>
              <w:t>纱网的品牌</w:t>
            </w: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60" w:type="dxa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numPr>
                <w:ilvl w:val="0"/>
                <w:numId w:val="1"/>
              </w:numPr>
              <w:spacing w:line="240" w:lineRule="auto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560" w:type="dxa"/>
            <w:tcBorders>
              <w:top w:val="doub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sz w:val="20"/>
                <w:szCs w:val="20"/>
              </w:rPr>
              <w:t>隐形纱窗</w:t>
            </w:r>
          </w:p>
        </w:tc>
        <w:tc>
          <w:tcPr>
            <w:tcW w:w="6378" w:type="dxa"/>
            <w:tcBorders>
              <w:top w:val="doub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纱网：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 xml:space="preserve"> 1、采用无机纤维阻燃透视网布，耐150℃的高温，具有绝缘，绝热，隔音，耐老化等性能。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2、孔径： 网布的开孔率达到80%，孔径尺寸：18*18目。纱直径：经线0.28mm，横线0.28mm。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3、SGS纱网检测报告：1纱网的REACH环保检测报告，2纱网的紫外线老化测试报告（其中ISO4892-3：2013、UVA-340需满足测试等级为4-5级），3纱网的拉伸强度测试报告，4纱网的阻燃测试B3等级报告。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纱窗铝材及表面处理：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 xml:space="preserve">1、纱窗外框为铝合金（6063—T5）有SGS检测铝材6063-T5报告，所有部位的铝材厚度  ≥  1.0mm。   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2、材料表面处理为无铅粉末喷涂处理，需达到国家环保要求，内部卷管铝材表面处理为：阳极氧化。                                                      配件：                                                                                                                   1、纱窗配件为塑料材质为ABS，PP，PE及尼龙新料。提供SGS材质检测报告。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2、碳素弹簧钢丝表面需镀锌处理。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3、边缘防风材质为:改性透明PVC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4、配件中的轴承为不锈钢材质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 xml:space="preserve">5、配件与铝材固定用同色螺丝，以显示一体性。 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纱窗整体性能要求：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1、纱窗具有可拆洗功能，纱网卷筒部分与框体可分离/拼装。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2、双拉杆组合设计：由两个拉杆组成，随拉随停功能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3、内置毛刷清洁系统，可以将纱网表面都可以得到清洁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4、旋转微调节系统：可调节纱窗开关松紧度，更加轻松方便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5、抗风装置，需用透明新料PE片与纱网双线缝制</w:t>
            </w:r>
          </w:p>
          <w:p>
            <w:pPr>
              <w:jc w:val="left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 xml:space="preserve">须提供厂家授权书原件                 </w:t>
            </w:r>
          </w:p>
          <w:p>
            <w:pPr>
              <w:jc w:val="left"/>
              <w:rPr>
                <w:rFonts w:ascii="宋体" w:hAnsi="宋体" w:cs="宋体"/>
                <w:b/>
                <w:sz w:val="20"/>
                <w:szCs w:val="20"/>
              </w:rPr>
            </w:pPr>
            <w:r>
              <w:rPr>
                <w:rFonts w:hint="eastAsia" w:ascii="宋体" w:hAnsi="宋体" w:cs="Arial"/>
                <w:b/>
                <w:sz w:val="21"/>
                <w:szCs w:val="21"/>
              </w:rPr>
              <w:t>须提供厂家授权书复印件需加盖比选申请人公章，原件备查</w:t>
            </w:r>
            <w:bookmarkStart w:id="1" w:name="_GoBack"/>
            <w:bookmarkEnd w:id="1"/>
          </w:p>
        </w:tc>
        <w:tc>
          <w:tcPr>
            <w:tcW w:w="993" w:type="dxa"/>
            <w:tcBorders>
              <w:top w:val="doub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米</w:t>
            </w:r>
          </w:p>
        </w:tc>
        <w:tc>
          <w:tcPr>
            <w:tcW w:w="1401" w:type="dxa"/>
            <w:tcBorders>
              <w:top w:val="doub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1"/>
                <w:szCs w:val="21"/>
              </w:rPr>
              <w:t>钜峰、特耐利德、摩尔戴克、众冉</w:t>
            </w:r>
          </w:p>
        </w:tc>
        <w:tc>
          <w:tcPr>
            <w:tcW w:w="1196" w:type="dxa"/>
            <w:tcBorders>
              <w:top w:val="doub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doub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1450</w:t>
            </w:r>
          </w:p>
        </w:tc>
        <w:tc>
          <w:tcPr>
            <w:tcW w:w="1134" w:type="dxa"/>
            <w:tcBorders>
              <w:top w:val="doub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  <w:lang w:eastAsia="zh-CN"/>
              </w:rPr>
              <w:t>品牌指</w:t>
            </w:r>
            <w:r>
              <w:rPr>
                <w:rFonts w:hint="eastAsia" w:ascii="宋体" w:hAnsi="宋体" w:cs="宋体"/>
                <w:b/>
                <w:bCs/>
                <w:kern w:val="0"/>
                <w:sz w:val="21"/>
                <w:szCs w:val="21"/>
              </w:rPr>
              <w:t>纱网的品牌</w:t>
            </w:r>
          </w:p>
        </w:tc>
      </w:tr>
    </w:tbl>
    <w:p>
      <w:pPr>
        <w:jc w:val="center"/>
        <w:rPr>
          <w:rFonts w:hAnsi="宋体"/>
          <w:b/>
          <w:szCs w:val="21"/>
        </w:rPr>
      </w:pPr>
    </w:p>
    <w:p>
      <w:pPr>
        <w:numPr>
          <w:ilvl w:val="0"/>
          <w:numId w:val="2"/>
        </w:numPr>
        <w:rPr>
          <w:rFonts w:ascii="宋体" w:hAnsi="宋体"/>
          <w:color w:val="000000"/>
          <w:kern w:val="58"/>
          <w:sz w:val="21"/>
          <w:szCs w:val="20"/>
        </w:rPr>
      </w:pPr>
      <w:r>
        <w:rPr>
          <w:rFonts w:hint="eastAsia" w:ascii="宋体" w:hAnsi="宋体"/>
          <w:color w:val="000000"/>
          <w:kern w:val="58"/>
          <w:sz w:val="21"/>
          <w:szCs w:val="20"/>
        </w:rPr>
        <w:t>本次纱窗安装分布宁波轨道交通各个车站、停车场及车辆段,地点分散且分批安装时间跨度大，请比选申请人在报价时充分考虑运费及各类安装人工成本，实际安装数量根据后期测量安装面积为准。</w:t>
      </w:r>
    </w:p>
    <w:p>
      <w:pPr>
        <w:numPr>
          <w:ilvl w:val="0"/>
          <w:numId w:val="2"/>
        </w:numPr>
      </w:pPr>
      <w:r>
        <w:rPr>
          <w:rFonts w:hint="eastAsia" w:ascii="宋体" w:hAnsi="宋体"/>
          <w:color w:val="000000"/>
          <w:kern w:val="58"/>
          <w:sz w:val="21"/>
          <w:szCs w:val="20"/>
        </w:rPr>
        <w:t>评审现场需提供成品小样，样品尺寸（宽300MM*高400MM）或以上，并可现场示范。</w:t>
      </w:r>
      <w:bookmarkEnd w:id="0"/>
    </w:p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30694"/>
    <w:multiLevelType w:val="multilevel"/>
    <w:tmpl w:val="1CD30694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0" w:hanging="363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2C4D3D35"/>
    <w:multiLevelType w:val="multilevel"/>
    <w:tmpl w:val="2C4D3D35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6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B7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widowControl/>
      <w:spacing w:before="340" w:after="330" w:line="578" w:lineRule="atLeast"/>
      <w:jc w:val="left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pPr>
      <w:spacing w:line="240" w:lineRule="auto"/>
    </w:pPr>
    <w:rPr>
      <w:rFonts w:ascii="宋体" w:hAnsi="Courier New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123</dc:creator>
  <cp:lastModifiedBy>123</cp:lastModifiedBy>
  <dcterms:modified xsi:type="dcterms:W3CDTF">2020-07-08T00:48:33Z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