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120"/>
        <w:jc w:val="center"/>
        <w:rPr>
          <w:sz w:val="32"/>
          <w:szCs w:val="32"/>
        </w:rPr>
      </w:pPr>
      <w:bookmarkStart w:id="1" w:name="_GoBack"/>
      <w:bookmarkEnd w:id="1"/>
      <w:bookmarkStart w:id="0" w:name="_Toc16617"/>
      <w:r>
        <w:rPr>
          <w:rFonts w:hint="eastAsia"/>
          <w:sz w:val="32"/>
          <w:szCs w:val="32"/>
        </w:rPr>
        <w:t>用户需求书</w:t>
      </w:r>
      <w:bookmarkEnd w:id="0"/>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一、项目概况</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 xml:space="preserve">1号线育王岭隧道总长约1.38km，采用矿山法爆破施工，为双线单洞复合式衬砌断面，隧道结构外轮廓为11.7mx10.3m，洞口外山体最大坡度在30°~40°，现洞口外平坡段位置采用菱形混凝土或片石护坡，其上种植绿化。在“利奇马”过境期间，隧道西侧洞口边坡遭强降雨水土冲刷，土体出现了失稳滑坡沙石侵入轨道线路影响行车安全的情况，为确保台风暴雨等恶劣天气隧道口结构设施安全稳定，特申请育王岭隧道洞口防护提升项目的立项实施。           </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二、项目范围</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2.1 改造内容</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1、对隧道西两侧洞口外山坡土体进行加固；</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2、对山坡排设施进行改造，引入现状排水沟。</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2.2 技术要求</w:t>
      </w:r>
    </w:p>
    <w:p>
      <w:pPr>
        <w:pStyle w:val="2"/>
        <w:spacing w:line="360" w:lineRule="auto"/>
        <w:ind w:firstLine="420" w:firstLineChars="200"/>
        <w:rPr>
          <w:rFonts w:hAnsi="宋体"/>
          <w:color w:val="000000"/>
          <w:kern w:val="58"/>
          <w:sz w:val="21"/>
        </w:rPr>
      </w:pPr>
      <w:r>
        <w:rPr>
          <w:rFonts w:hint="eastAsia" w:hAnsi="宋体"/>
          <w:color w:val="000000"/>
          <w:kern w:val="58"/>
          <w:sz w:val="21"/>
        </w:rPr>
        <w:t>1、挡墙均采用M10浆砌片石砌筑；片石的强度等级不得低于MU30，片石混凝土施工时，应选用质地坚硬、密实、耐久、无裂纹和无风化的石料，片石厚度应为150～300mm。片石应分布均匀，净距不小于150mm；</w:t>
      </w:r>
    </w:p>
    <w:p>
      <w:pPr>
        <w:pStyle w:val="2"/>
        <w:spacing w:line="360" w:lineRule="auto"/>
        <w:ind w:firstLine="420" w:firstLineChars="200"/>
        <w:rPr>
          <w:rFonts w:hAnsi="宋体"/>
          <w:color w:val="000000"/>
          <w:kern w:val="58"/>
          <w:sz w:val="21"/>
        </w:rPr>
      </w:pPr>
      <w:r>
        <w:rPr>
          <w:rFonts w:hAnsi="宋体"/>
          <w:color w:val="000000"/>
          <w:kern w:val="58"/>
          <w:sz w:val="21"/>
        </w:rPr>
        <w:t>2</w:t>
      </w:r>
      <w:r>
        <w:rPr>
          <w:rFonts w:hint="eastAsia" w:hAnsi="宋体"/>
          <w:color w:val="000000"/>
          <w:kern w:val="58"/>
          <w:sz w:val="21"/>
        </w:rPr>
        <w:t>、洞口南侧浆砌片石砌筑回填区临近村民修建的道路及新建排水边沟，浆砌片石回填时应做好与新建排水沟边沟的顺接；</w:t>
      </w:r>
    </w:p>
    <w:p>
      <w:pPr>
        <w:pStyle w:val="2"/>
        <w:spacing w:line="360" w:lineRule="auto"/>
        <w:ind w:firstLine="420" w:firstLineChars="200"/>
        <w:rPr>
          <w:rFonts w:hint="eastAsia" w:hAnsi="宋体"/>
          <w:color w:val="000000"/>
          <w:kern w:val="58"/>
          <w:sz w:val="21"/>
        </w:rPr>
      </w:pPr>
      <w:r>
        <w:rPr>
          <w:rFonts w:hAnsi="宋体"/>
          <w:color w:val="000000"/>
          <w:kern w:val="58"/>
          <w:sz w:val="21"/>
        </w:rPr>
        <w:t>3</w:t>
      </w:r>
      <w:r>
        <w:rPr>
          <w:rFonts w:hint="eastAsia" w:hAnsi="宋体"/>
          <w:color w:val="000000"/>
          <w:kern w:val="58"/>
          <w:sz w:val="21"/>
        </w:rPr>
        <w:t>、新建</w:t>
      </w:r>
      <w:r>
        <w:rPr>
          <w:rFonts w:hAnsi="宋体"/>
          <w:color w:val="000000"/>
          <w:kern w:val="58"/>
          <w:sz w:val="21"/>
        </w:rPr>
        <w:t>C30</w:t>
      </w:r>
      <w:r>
        <w:rPr>
          <w:rFonts w:hint="eastAsia" w:hAnsi="宋体"/>
          <w:color w:val="000000"/>
          <w:kern w:val="58"/>
          <w:sz w:val="21"/>
        </w:rPr>
        <w:t>混凝土排水边沟为带盖板矩形边沟，盖板采用预制板，排水沟应做好与现状排水沟的顺接；</w:t>
      </w:r>
    </w:p>
    <w:p>
      <w:pPr>
        <w:pStyle w:val="2"/>
        <w:spacing w:line="360" w:lineRule="auto"/>
        <w:ind w:firstLine="420" w:firstLineChars="200"/>
        <w:rPr>
          <w:rFonts w:hint="eastAsia" w:hAnsi="宋体"/>
          <w:color w:val="000000"/>
          <w:kern w:val="58"/>
          <w:sz w:val="21"/>
        </w:rPr>
      </w:pPr>
      <w:r>
        <w:rPr>
          <w:rFonts w:hAnsi="宋体"/>
          <w:color w:val="000000"/>
          <w:kern w:val="58"/>
          <w:sz w:val="21"/>
        </w:rPr>
        <w:t>4</w:t>
      </w:r>
      <w:r>
        <w:rPr>
          <w:rFonts w:hint="eastAsia" w:hAnsi="宋体"/>
          <w:color w:val="000000"/>
          <w:kern w:val="58"/>
          <w:sz w:val="21"/>
        </w:rPr>
        <w:t>、各细节具体以图纸为准。</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2.3 工作量</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详见图纸</w:t>
      </w:r>
    </w:p>
    <w:p>
      <w:pPr>
        <w:pStyle w:val="2"/>
        <w:spacing w:line="360" w:lineRule="auto"/>
        <w:ind w:firstLine="420" w:firstLineChars="200"/>
        <w:rPr>
          <w:rFonts w:hint="eastAsia" w:hAnsi="宋体"/>
          <w:color w:val="000000"/>
          <w:kern w:val="58"/>
          <w:sz w:val="21"/>
        </w:rPr>
      </w:pPr>
    </w:p>
    <w:p>
      <w:pPr>
        <w:pStyle w:val="2"/>
        <w:spacing w:line="360" w:lineRule="auto"/>
        <w:ind w:firstLine="420" w:firstLineChars="200"/>
        <w:rPr>
          <w:rFonts w:hint="eastAsia" w:hAnsi="宋体"/>
          <w:color w:val="000000"/>
          <w:kern w:val="58"/>
          <w:sz w:val="21"/>
        </w:rPr>
      </w:pPr>
    </w:p>
    <w:p>
      <w:pPr>
        <w:pStyle w:val="2"/>
        <w:spacing w:line="360" w:lineRule="auto"/>
        <w:ind w:firstLine="400" w:firstLineChars="200"/>
        <w:rPr>
          <w:rFonts w:hint="eastAsia" w:hAnsi="宋体"/>
          <w:color w:val="000000"/>
          <w:kern w:val="58"/>
          <w:sz w:val="21"/>
        </w:rPr>
      </w:pPr>
      <w:r>
        <w:drawing>
          <wp:inline distT="0" distB="0" distL="114300" distR="114300">
            <wp:extent cx="6188075" cy="3462655"/>
            <wp:effectExtent l="0" t="0" r="317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188075" cy="3462655"/>
                    </a:xfrm>
                    <a:prstGeom prst="rect">
                      <a:avLst/>
                    </a:prstGeom>
                    <a:noFill/>
                    <a:ln>
                      <a:noFill/>
                    </a:ln>
                  </pic:spPr>
                </pic:pic>
              </a:graphicData>
            </a:graphic>
          </wp:inline>
        </w:drawing>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改造示意图</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三、项目实施</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3.1项目归口管理组成</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申请部门：工务维修中心</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主办部门：工程部（节能办）</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3.2项目施工特点</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3.2.1施工期间需遵守宁波轨道交通运营分公司相关管理规定，遵守工务维修中心相关管理规定，遵守场段内相关施工管理规定，办理出入手续，人员登记手续等。</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3.2.2施工期间不得破坏非施工区域设施设备，施工中需接受运营分公司归口单位的及相关部门的管理和监督，施工后确保线路出清。</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3.2.3严格按照要求放置原材料及料具，现场要加强场容管理，使现场做到整齐、干净、节约、安全、施工秩序良好。</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3.2.4注意安全用电，电线应理顺，不能乱拉乱挂，加强安全用电，统一使用标准安全电箱，教育职工自觉遵守安全用电制度和持证上岗制，防止用电事故发生。</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3.2.5施工前须由负责人向施工人员进行技术交底和安全交底，未经教育者不得进入施工现场作业，进入施工场地着装统一整齐，穿戴劳动防护用品，防止造成人身伤害。</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3.2.6在施工过程中，要严格落实施工方案的具体要求，每一道工序完成后均应自检，自检合格后向磋商人报验，复验合格后方可进行下一道工序的施工。</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3.2.7按工程进度编制材料需求计划表，力求准确可靠；</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3.2.8专人定期对施工机械设备进行维修、保养，以保证其满足施工所需，所有进场设备必须保持良好状态；</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3.2.9建立严格的原材料、成品和半成品进场验收制度，对采购进场的原材料及成品、半成品要由质量、技术有关人员组织进行验收，验收的内容包括：</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a)进场货物的品种、规格、数量是否符合采购计划；</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b)供应厂家的产品合格证或检验报告是否齐全；</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c)产品现场质量检查，并填写检查验收记录；</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3.2.10按验收程序收货后分类分批堆放管理，做好标记。质量检查记录保存备查。对检查验收不合格的原材料、成品和半成品，要马上清除出场，不得使用。</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四、质量保证</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4.1质量具体要求</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1）实施中心及材料供应方应严格按照ISO9000质量体系的规定，制定相应的项目质量控制标准，以及制定工程各个阶段的切实可行的质量控制措施。</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2）材料供应方应保证主要部件的材质、规格与需求相符，在任何时候，需求部门如发现材质、规格等不符合要求，材料供应方应无偿更换，同时磋商人保留进一步追究中标人责任的权利。</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4.2验收标准</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严格按技术要求进行施工，否则应予以返工，直至达到验收标准。</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工程完工后由运营分公司需求中心、部门及主办归口部门组织进行验收，按照国家相关验收标准执行。</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4.3质保期</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4.3.1质保期自验收完成之日起计算，质量保证期为二年。</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4.3.2质保期内的质保责任：</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a)在上述规定的质保期内，因本身质量问题所出现的故障、缺陷等问题，中标人应承担一切责任，并根据故障情况进行维修。维修后应重新计算质保期，所发生的一切费用由中标人承担；</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b)在质保期内的损坏由实施中心负责维修和排除；</w:t>
      </w:r>
    </w:p>
    <w:p>
      <w:pPr>
        <w:pStyle w:val="2"/>
        <w:spacing w:line="360" w:lineRule="auto"/>
        <w:ind w:firstLine="420" w:firstLineChars="200"/>
        <w:rPr>
          <w:rFonts w:hint="eastAsia" w:hAnsi="宋体"/>
          <w:color w:val="000000"/>
          <w:kern w:val="58"/>
          <w:sz w:val="21"/>
        </w:rPr>
      </w:pPr>
      <w:r>
        <w:rPr>
          <w:rFonts w:hint="eastAsia" w:hAnsi="宋体"/>
          <w:color w:val="000000"/>
          <w:kern w:val="58"/>
          <w:sz w:val="21"/>
        </w:rPr>
        <w:t>c)实施中心在接报故障后24小时之内必须赶到故障现场，并完成故障处理；比选发起人提供初步的备件及工具需求清单，最终清单根据现场实际设备型号由双方合同谈判中确定。</w:t>
      </w:r>
    </w:p>
    <w:p>
      <w:pPr>
        <w:pStyle w:val="2"/>
        <w:spacing w:line="360" w:lineRule="auto"/>
        <w:ind w:firstLine="420" w:firstLineChars="200"/>
        <w:rPr>
          <w:rFonts w:hint="eastAsia" w:hAnsi="宋体"/>
          <w:color w:val="000000"/>
          <w:kern w:val="58"/>
          <w:sz w:val="21"/>
          <w:lang w:eastAsia="zh-CN"/>
        </w:rPr>
      </w:pPr>
      <w:r>
        <w:rPr>
          <w:rFonts w:hint="eastAsia" w:hAnsi="宋体"/>
          <w:color w:val="000000"/>
          <w:kern w:val="58"/>
          <w:sz w:val="21"/>
          <w:lang w:val="en-US" w:eastAsia="zh-CN"/>
        </w:rPr>
        <w:t>五、</w:t>
      </w:r>
      <w:r>
        <w:rPr>
          <w:rFonts w:hint="eastAsia" w:hAnsi="宋体"/>
          <w:color w:val="000000"/>
          <w:kern w:val="58"/>
          <w:sz w:val="21"/>
          <w:lang w:eastAsia="zh-CN"/>
        </w:rPr>
        <w:t>工程量清单</w:t>
      </w:r>
    </w:p>
    <w:tbl>
      <w:tblPr>
        <w:tblStyle w:val="5"/>
        <w:tblW w:w="9549" w:type="dxa"/>
        <w:tblInd w:w="0" w:type="dxa"/>
        <w:tblLayout w:type="fixed"/>
        <w:tblCellMar>
          <w:top w:w="0" w:type="dxa"/>
          <w:left w:w="0" w:type="dxa"/>
          <w:bottom w:w="0" w:type="dxa"/>
          <w:right w:w="0" w:type="dxa"/>
        </w:tblCellMar>
      </w:tblPr>
      <w:tblGrid>
        <w:gridCol w:w="527"/>
        <w:gridCol w:w="2032"/>
        <w:gridCol w:w="4650"/>
        <w:gridCol w:w="1020"/>
        <w:gridCol w:w="1320"/>
      </w:tblGrid>
      <w:tr>
        <w:tblPrEx>
          <w:tblLayout w:type="fixed"/>
          <w:tblCellMar>
            <w:top w:w="0" w:type="dxa"/>
            <w:left w:w="0" w:type="dxa"/>
            <w:bottom w:w="0" w:type="dxa"/>
            <w:right w:w="0" w:type="dxa"/>
          </w:tblCellMar>
        </w:tblPrEx>
        <w:trPr>
          <w:trHeight w:val="468"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清单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序号</w:t>
            </w:r>
          </w:p>
        </w:tc>
        <w:tc>
          <w:tcPr>
            <w:tcW w:w="20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项目名称</w:t>
            </w:r>
          </w:p>
        </w:tc>
        <w:tc>
          <w:tcPr>
            <w:tcW w:w="4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ind w:firstLine="1800" w:firstLineChars="1000"/>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项目特征</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计量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单位</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数量</w:t>
            </w:r>
          </w:p>
        </w:tc>
      </w:tr>
      <w:tr>
        <w:tblPrEx>
          <w:tblLayout w:type="fixed"/>
          <w:tblCellMar>
            <w:top w:w="0" w:type="dxa"/>
            <w:left w:w="0" w:type="dxa"/>
            <w:bottom w:w="0" w:type="dxa"/>
            <w:right w:w="0" w:type="dxa"/>
          </w:tblCellMar>
        </w:tblPrEx>
        <w:trPr>
          <w:trHeight w:val="580"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18"/>
                <w:szCs w:val="18"/>
              </w:rPr>
            </w:pPr>
          </w:p>
        </w:tc>
        <w:tc>
          <w:tcPr>
            <w:tcW w:w="20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18"/>
                <w:szCs w:val="18"/>
              </w:rPr>
            </w:pPr>
          </w:p>
        </w:tc>
        <w:tc>
          <w:tcPr>
            <w:tcW w:w="4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18"/>
                <w:szCs w:val="18"/>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18"/>
                <w:szCs w:val="18"/>
              </w:rPr>
            </w:pPr>
          </w:p>
        </w:tc>
      </w:tr>
      <w:tr>
        <w:tblPrEx>
          <w:tblLayout w:type="fixed"/>
          <w:tblCellMar>
            <w:top w:w="0" w:type="dxa"/>
            <w:left w:w="0" w:type="dxa"/>
            <w:bottom w:w="0" w:type="dxa"/>
            <w:right w:w="0"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 xml:space="preserve">挖一般土方  </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default" w:ascii="宋体" w:hAnsi="宋体" w:cs="宋体"/>
                <w:color w:val="000000"/>
                <w:kern w:val="0"/>
                <w:sz w:val="18"/>
                <w:szCs w:val="18"/>
                <w:lang w:val="en-US" w:eastAsia="zh-CN" w:bidi="ar"/>
              </w:rPr>
            </w:pPr>
            <w:r>
              <w:rPr>
                <w:rFonts w:hint="default" w:ascii="宋体" w:hAnsi="宋体" w:cs="宋体"/>
                <w:color w:val="000000"/>
                <w:kern w:val="0"/>
                <w:sz w:val="18"/>
                <w:szCs w:val="18"/>
                <w:lang w:val="en-US" w:eastAsia="zh-CN" w:bidi="ar"/>
              </w:rPr>
              <w:t>1.部位：排水沟；</w:t>
            </w:r>
          </w:p>
          <w:p>
            <w:pPr>
              <w:widowControl/>
              <w:jc w:val="left"/>
              <w:textAlignment w:val="center"/>
              <w:rPr>
                <w:rFonts w:hint="default" w:ascii="宋体" w:hAnsi="宋体" w:cs="宋体"/>
                <w:color w:val="000000"/>
                <w:kern w:val="0"/>
                <w:sz w:val="18"/>
                <w:szCs w:val="18"/>
                <w:lang w:val="en-US" w:eastAsia="zh-CN" w:bidi="ar"/>
              </w:rPr>
            </w:pPr>
            <w:r>
              <w:rPr>
                <w:rFonts w:hint="default" w:ascii="宋体" w:hAnsi="宋体" w:cs="宋体"/>
                <w:color w:val="000000"/>
                <w:kern w:val="0"/>
                <w:sz w:val="18"/>
                <w:szCs w:val="18"/>
                <w:lang w:val="en-US" w:eastAsia="zh-CN" w:bidi="ar"/>
              </w:rPr>
              <w:t>2.土壤类别：综合考虑；</w:t>
            </w:r>
          </w:p>
          <w:p>
            <w:pPr>
              <w:widowControl/>
              <w:jc w:val="left"/>
              <w:textAlignment w:val="center"/>
              <w:rPr>
                <w:rFonts w:hint="default" w:ascii="宋体" w:hAnsi="宋体" w:cs="宋体"/>
                <w:color w:val="000000"/>
                <w:kern w:val="0"/>
                <w:sz w:val="18"/>
                <w:szCs w:val="18"/>
                <w:lang w:val="en-US" w:eastAsia="zh-CN" w:bidi="ar"/>
              </w:rPr>
            </w:pPr>
            <w:r>
              <w:rPr>
                <w:rFonts w:hint="default" w:ascii="宋体" w:hAnsi="宋体" w:cs="宋体"/>
                <w:color w:val="000000"/>
                <w:kern w:val="0"/>
                <w:sz w:val="18"/>
                <w:szCs w:val="18"/>
                <w:lang w:val="en-US" w:eastAsia="zh-CN" w:bidi="ar"/>
              </w:rPr>
              <w:t>3.挖土深度：综合考虑；</w:t>
            </w:r>
          </w:p>
          <w:p>
            <w:pPr>
              <w:widowControl/>
              <w:jc w:val="left"/>
              <w:textAlignment w:val="center"/>
              <w:rPr>
                <w:rFonts w:hint="default" w:ascii="宋体" w:hAnsi="宋体" w:cs="宋体"/>
                <w:color w:val="000000"/>
                <w:kern w:val="0"/>
                <w:sz w:val="18"/>
                <w:szCs w:val="18"/>
                <w:lang w:val="en-US" w:eastAsia="zh-CN" w:bidi="ar"/>
              </w:rPr>
            </w:pPr>
            <w:r>
              <w:rPr>
                <w:rFonts w:hint="default" w:ascii="宋体" w:hAnsi="宋体" w:cs="宋体"/>
                <w:color w:val="000000"/>
                <w:kern w:val="0"/>
                <w:sz w:val="18"/>
                <w:szCs w:val="18"/>
                <w:lang w:val="en-US" w:eastAsia="zh-CN" w:bidi="ar"/>
              </w:rPr>
              <w:t>4.其他：人工挖土、支撑等自行考虑；</w:t>
            </w:r>
          </w:p>
          <w:p>
            <w:pPr>
              <w:widowControl/>
              <w:jc w:val="left"/>
              <w:textAlignment w:val="center"/>
              <w:rPr>
                <w:rFonts w:hint="default" w:ascii="宋体" w:hAnsi="宋体" w:cs="宋体"/>
                <w:color w:val="000000"/>
                <w:kern w:val="0"/>
                <w:sz w:val="18"/>
                <w:szCs w:val="18"/>
                <w:lang w:val="en-US" w:eastAsia="zh-CN" w:bidi="ar"/>
              </w:rPr>
            </w:pPr>
            <w:r>
              <w:rPr>
                <w:rFonts w:hint="default" w:ascii="宋体" w:hAnsi="宋体" w:cs="宋体"/>
                <w:color w:val="000000"/>
                <w:kern w:val="0"/>
                <w:sz w:val="18"/>
                <w:szCs w:val="18"/>
                <w:lang w:val="en-US" w:eastAsia="zh-CN" w:bidi="ar"/>
              </w:rPr>
              <w:t>5.详见施工图纸。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81</w:t>
            </w:r>
          </w:p>
        </w:tc>
      </w:tr>
      <w:tr>
        <w:tblPrEx>
          <w:tblLayout w:type="fixed"/>
          <w:tblCellMar>
            <w:top w:w="0" w:type="dxa"/>
            <w:left w:w="0" w:type="dxa"/>
            <w:bottom w:w="0" w:type="dxa"/>
            <w:right w:w="0"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回填方 </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1.部位：排水沟；</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2.填方材料品种：原土；</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3.详见施工图纸。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24.3</w:t>
            </w:r>
          </w:p>
        </w:tc>
      </w:tr>
      <w:tr>
        <w:tblPrEx>
          <w:tblLayout w:type="fixed"/>
          <w:tblCellMar>
            <w:top w:w="0" w:type="dxa"/>
            <w:left w:w="0" w:type="dxa"/>
            <w:bottom w:w="0" w:type="dxa"/>
            <w:right w:w="0"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拆除混凝土结构 </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1.拆除部位：浆砌片石挡墙</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2.拆除类型：无筋混凝土拆除；</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3.拆除方式：自行考虑；</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4.详见施工图纸。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9.7</w:t>
            </w:r>
          </w:p>
        </w:tc>
      </w:tr>
      <w:tr>
        <w:tblPrEx>
          <w:tblLayout w:type="fixed"/>
          <w:tblCellMar>
            <w:top w:w="0" w:type="dxa"/>
            <w:left w:w="0" w:type="dxa"/>
            <w:bottom w:w="0" w:type="dxa"/>
            <w:right w:w="0"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挖淤泥、流砂</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1.部位：排水沟；</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2.土壤类别：淤泥；</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3.挖土深度：综合考虑；</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4.其他：人工挖淤泥、支撑等自行考虑；</w:t>
            </w:r>
          </w:p>
          <w:p>
            <w:pPr>
              <w:widowControl/>
              <w:jc w:val="left"/>
              <w:textAlignment w:val="center"/>
              <w:rPr>
                <w:rFonts w:hint="default" w:eastAsia="宋体"/>
                <w:lang w:val="en-US" w:eastAsia="zh-CN"/>
              </w:rPr>
            </w:pPr>
            <w:r>
              <w:rPr>
                <w:rFonts w:hint="eastAsia" w:ascii="宋体" w:hAnsi="宋体" w:cs="宋体"/>
                <w:color w:val="000000"/>
                <w:kern w:val="0"/>
                <w:sz w:val="18"/>
                <w:szCs w:val="18"/>
                <w:lang w:bidi="ar"/>
              </w:rPr>
              <w:t>5.详见施工图纸。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72</w:t>
            </w:r>
          </w:p>
        </w:tc>
      </w:tr>
      <w:tr>
        <w:tblPrEx>
          <w:tblLayout w:type="fixed"/>
          <w:tblCellMar>
            <w:top w:w="0" w:type="dxa"/>
            <w:left w:w="0" w:type="dxa"/>
            <w:bottom w:w="0" w:type="dxa"/>
            <w:right w:w="0"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浆砌块料</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1.部位 ：挡墙</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2.材料品种、规格 ：浆砌片石</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3.砂浆强度等级 ：M10</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4.详见施工图纸。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r>
      <w:tr>
        <w:tblPrEx>
          <w:tblLayout w:type="fixed"/>
          <w:tblCellMar>
            <w:top w:w="0" w:type="dxa"/>
            <w:left w:w="0" w:type="dxa"/>
            <w:bottom w:w="0" w:type="dxa"/>
            <w:right w:w="0" w:type="dxa"/>
          </w:tblCellMar>
        </w:tblPrEx>
        <w:trPr>
          <w:trHeight w:val="702"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排水沟 </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1.类型：纵向盖板排水边沟；</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2.宽度1.4m，平均深度1.35m；</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3.基础：100mm厚砂砾垫层；</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4.沟体采用C25砼；</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5.C30预制砼盖板，含模板钢筋；</w:t>
            </w:r>
          </w:p>
          <w:p>
            <w:pPr>
              <w:widowControl/>
              <w:jc w:val="left"/>
              <w:textAlignment w:val="center"/>
              <w:rPr>
                <w:rFonts w:hAnsi="宋体" w:cs="宋体"/>
                <w:color w:val="000000"/>
                <w:sz w:val="18"/>
                <w:szCs w:val="18"/>
                <w:lang w:val="en-US" w:eastAsia="zh-CN" w:bidi="ar"/>
              </w:rPr>
            </w:pPr>
            <w:r>
              <w:rPr>
                <w:rFonts w:hint="eastAsia" w:ascii="宋体" w:hAnsi="宋体" w:cs="宋体"/>
                <w:color w:val="000000"/>
                <w:kern w:val="0"/>
                <w:sz w:val="18"/>
                <w:szCs w:val="18"/>
                <w:lang w:bidi="ar"/>
              </w:rPr>
              <w:t>6.详见施工图纸。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r>
      <w:tr>
        <w:tblPrEx>
          <w:tblLayout w:type="fixed"/>
          <w:tblCellMar>
            <w:top w:w="0" w:type="dxa"/>
            <w:left w:w="0" w:type="dxa"/>
            <w:bottom w:w="0" w:type="dxa"/>
            <w:right w:w="0"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浆砌片石回填 </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1.部位：路基；</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2.填方材料品种：M10浆砌片石；</w:t>
            </w:r>
          </w:p>
          <w:p>
            <w:pPr>
              <w:widowControl/>
              <w:jc w:val="left"/>
              <w:textAlignment w:val="center"/>
              <w:rPr>
                <w:rFonts w:hint="eastAsia"/>
                <w:lang w:val="en-US" w:eastAsia="zh-CN"/>
              </w:rPr>
            </w:pPr>
            <w:r>
              <w:rPr>
                <w:rFonts w:hint="eastAsia" w:ascii="宋体" w:hAnsi="宋体" w:cs="宋体"/>
                <w:color w:val="000000"/>
                <w:kern w:val="0"/>
                <w:sz w:val="18"/>
                <w:szCs w:val="18"/>
                <w:lang w:bidi="ar"/>
              </w:rPr>
              <w:t>3.详见施工图纸。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128</w:t>
            </w:r>
          </w:p>
        </w:tc>
      </w:tr>
      <w:tr>
        <w:tblPrEx>
          <w:tblLayout w:type="fixed"/>
          <w:tblCellMar>
            <w:top w:w="0" w:type="dxa"/>
            <w:left w:w="0" w:type="dxa"/>
            <w:bottom w:w="0" w:type="dxa"/>
            <w:right w:w="0" w:type="dxa"/>
          </w:tblCellMar>
        </w:tblPrEx>
        <w:trPr>
          <w:trHeight w:val="702"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建筑渣土外运</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1.废弃料品种：综合考虑；</w:t>
            </w:r>
          </w:p>
          <w:p>
            <w:pPr>
              <w:widowControl/>
              <w:jc w:val="left"/>
              <w:textAlignment w:val="center"/>
              <w:rPr>
                <w:rFonts w:hAnsi="宋体" w:cs="宋体"/>
                <w:color w:val="000000"/>
                <w:sz w:val="18"/>
                <w:szCs w:val="18"/>
                <w:lang w:val="en-US" w:eastAsia="zh-CN" w:bidi="ar"/>
              </w:rPr>
            </w:pPr>
            <w:r>
              <w:rPr>
                <w:rFonts w:hint="eastAsia" w:ascii="宋体" w:hAnsi="宋体" w:cs="宋体"/>
                <w:color w:val="000000"/>
                <w:kern w:val="0"/>
                <w:sz w:val="18"/>
                <w:szCs w:val="18"/>
                <w:lang w:bidi="ar"/>
              </w:rPr>
              <w:t>2.运距：自行考虑。</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138.4</w:t>
            </w:r>
          </w:p>
        </w:tc>
      </w:tr>
      <w:tr>
        <w:tblPrEx>
          <w:tblLayout w:type="fixed"/>
          <w:tblCellMar>
            <w:top w:w="0" w:type="dxa"/>
            <w:left w:w="0" w:type="dxa"/>
            <w:bottom w:w="0" w:type="dxa"/>
            <w:right w:w="0" w:type="dxa"/>
          </w:tblCellMar>
        </w:tblPrEx>
        <w:trPr>
          <w:trHeight w:val="702"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9</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建筑渣土处置（陆域处置费）</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1.废弃料品种：综合考虑；</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2.处置区域：自行考虑。</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m3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138.4</w:t>
            </w:r>
          </w:p>
        </w:tc>
      </w:tr>
      <w:tr>
        <w:tblPrEx>
          <w:tblLayout w:type="fixed"/>
          <w:tblCellMar>
            <w:top w:w="0" w:type="dxa"/>
            <w:left w:w="0" w:type="dxa"/>
            <w:bottom w:w="0" w:type="dxa"/>
            <w:right w:w="0"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10</w:t>
            </w:r>
          </w:p>
        </w:tc>
        <w:tc>
          <w:tcPr>
            <w:tcW w:w="20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栽植乔木</w:t>
            </w:r>
          </w:p>
        </w:tc>
        <w:tc>
          <w:tcPr>
            <w:tcW w:w="4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1.原乔木就地移种</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2.胸径：11cm以内</w:t>
            </w:r>
          </w:p>
          <w:p>
            <w:pPr>
              <w:widowControl/>
              <w:jc w:val="left"/>
              <w:textAlignment w:val="center"/>
              <w:rPr>
                <w:rFonts w:hAnsi="宋体" w:cs="宋体"/>
                <w:color w:val="000000"/>
                <w:sz w:val="18"/>
                <w:szCs w:val="18"/>
                <w:lang w:val="en-US" w:eastAsia="zh-CN" w:bidi="ar"/>
              </w:rPr>
            </w:pPr>
            <w:r>
              <w:rPr>
                <w:rFonts w:hint="eastAsia" w:ascii="宋体" w:hAnsi="宋体" w:cs="宋体"/>
                <w:color w:val="000000"/>
                <w:kern w:val="0"/>
                <w:sz w:val="18"/>
                <w:szCs w:val="18"/>
                <w:lang w:bidi="ar"/>
              </w:rPr>
              <w:t>3.包含挖苗，填坑，挖坑，栽植等工作内容</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株</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r>
    </w:tbl>
    <w:p>
      <w:pPr>
        <w:pStyle w:val="2"/>
        <w:spacing w:line="360" w:lineRule="auto"/>
        <w:rPr>
          <w:rFonts w:hint="eastAsia" w:hAnsi="宋体"/>
          <w:color w:val="000000"/>
          <w:kern w:val="58"/>
          <w:sz w:val="21"/>
          <w:lang w:eastAsia="zh-CN"/>
        </w:rPr>
      </w:pPr>
      <w:r>
        <w:rPr>
          <w:rFonts w:hint="eastAsia" w:hAnsi="宋体"/>
          <w:color w:val="000000"/>
          <w:kern w:val="58"/>
          <w:sz w:val="21"/>
          <w:lang w:eastAsia="zh-CN"/>
        </w:rPr>
        <w:t>说明：1．比选申请人在报价时将比选申请人须知、用户需求书、合同条件及施工图纸等文件结合起来理解或解释。在填写工程量清单的每一项的单价和合价时认真阅读理解本工程比选文件的有关章节规定。项目特征及工作内容应以清单开项为准，结合图纸及用户需求书进行报价，如项目特征未详细描述但图纸及用户需求书中已有描述，除非出现施工图纸变更或业主原因造成相应工作的技术要求变化，否则视为相应报价单价已作综合考虑。</w:t>
      </w:r>
    </w:p>
    <w:p>
      <w:pPr>
        <w:pStyle w:val="2"/>
        <w:spacing w:line="360" w:lineRule="auto"/>
        <w:rPr>
          <w:rFonts w:hint="eastAsia" w:hAnsi="宋体"/>
          <w:color w:val="000000"/>
          <w:kern w:val="58"/>
          <w:sz w:val="21"/>
          <w:lang w:eastAsia="zh-CN"/>
        </w:rPr>
      </w:pPr>
      <w:r>
        <w:rPr>
          <w:rFonts w:hint="eastAsia" w:hAnsi="宋体"/>
          <w:color w:val="000000"/>
          <w:kern w:val="58"/>
          <w:sz w:val="21"/>
          <w:lang w:eastAsia="zh-CN"/>
        </w:rPr>
        <w:t>2．比选申请人用于本合同工程的各类材料、机械设备的提供、运输、拆卸、拼装等费用除非另有特别说明，否则视为已包括在工程量清单的综合单价与总价之中。</w:t>
      </w:r>
    </w:p>
    <w:p>
      <w:pPr>
        <w:pStyle w:val="2"/>
        <w:spacing w:line="360" w:lineRule="auto"/>
        <w:rPr>
          <w:rFonts w:hint="eastAsia" w:hAnsi="宋体"/>
          <w:color w:val="000000"/>
          <w:kern w:val="58"/>
          <w:sz w:val="21"/>
          <w:lang w:eastAsia="zh-CN"/>
        </w:rPr>
      </w:pPr>
      <w:r>
        <w:rPr>
          <w:rFonts w:hint="eastAsia" w:hAnsi="宋体"/>
          <w:color w:val="000000"/>
          <w:kern w:val="58"/>
          <w:sz w:val="21"/>
          <w:lang w:eastAsia="zh-CN"/>
        </w:rPr>
        <w:t>3.工程量计算规则按《市政工程工程量计算规范》（GB50857-2013）。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B5670"/>
    <w:rsid w:val="7EDB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widowControl/>
      <w:spacing w:before="340" w:after="330" w:line="578" w:lineRule="atLeast"/>
      <w:jc w:val="left"/>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240" w:lineRule="auto"/>
    </w:pPr>
    <w:rPr>
      <w:rFonts w:ascii="宋体" w:hAnsi="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2020-07-10T07:49:00Z</dcterms:created>
  <dc:creator>李赢</dc:creator>
  <cp:lastModifiedBy>李赢</cp:lastModifiedBy>
  <dcterms:modified xsi:type="dcterms:W3CDTF">2020-07-10T07:50:22Z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