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before="0" w:after="120"/>
        <w:jc w:val="center"/>
        <w:rPr>
          <w:rFonts w:hint="eastAsia" w:eastAsia="宋体"/>
          <w:sz w:val="32"/>
          <w:szCs w:val="32"/>
          <w:lang w:eastAsia="zh-CN"/>
        </w:rPr>
      </w:pPr>
      <w:bookmarkStart w:id="0" w:name="_Toc475717898"/>
      <w:r>
        <w:rPr>
          <w:rFonts w:hint="eastAsia"/>
          <w:sz w:val="32"/>
          <w:szCs w:val="32"/>
        </w:rPr>
        <w:t xml:space="preserve">第三章 </w:t>
      </w:r>
      <w:bookmarkEnd w:id="0"/>
      <w:r>
        <w:rPr>
          <w:rFonts w:hint="eastAsia"/>
          <w:sz w:val="32"/>
          <w:szCs w:val="32"/>
        </w:rPr>
        <w:t>技术</w:t>
      </w:r>
      <w:r>
        <w:rPr>
          <w:rFonts w:hint="eastAsia"/>
          <w:sz w:val="32"/>
          <w:szCs w:val="32"/>
          <w:lang w:eastAsia="zh-CN"/>
        </w:rPr>
        <w:t>规格书</w:t>
      </w:r>
    </w:p>
    <w:p>
      <w:pPr>
        <w:ind w:firstLine="482" w:firstLineChars="200"/>
        <w:rPr>
          <w:rFonts w:ascii="宋体" w:hAnsi="宋体"/>
          <w:b/>
          <w:bCs/>
        </w:rPr>
      </w:pPr>
      <w:bookmarkStart w:id="1" w:name="_Toc475717899"/>
      <w:bookmarkEnd w:id="1"/>
      <w:r>
        <w:rPr>
          <w:rFonts w:hint="eastAsia" w:ascii="宋体" w:hAnsi="宋体"/>
          <w:b/>
          <w:bCs/>
        </w:rPr>
        <w:t>一、项目概况</w:t>
      </w:r>
    </w:p>
    <w:p>
      <w:pPr>
        <w:pStyle w:val="7"/>
        <w:spacing w:line="360" w:lineRule="auto"/>
        <w:ind w:firstLineChars="200"/>
        <w:rPr>
          <w:rFonts w:hAnsi="宋体" w:cs="微软雅黑"/>
        </w:rPr>
      </w:pPr>
      <w:r>
        <w:rPr>
          <w:rFonts w:hint="eastAsia" w:hAnsi="宋体"/>
          <w:color w:val="000000"/>
          <w:kern w:val="58"/>
        </w:rPr>
        <w:t>本次采购的工装是满足宁波市轨道交通天童庄车辆段电客车架修生产需要的专用工装。</w:t>
      </w:r>
    </w:p>
    <w:p>
      <w:pPr>
        <w:ind w:firstLine="482" w:firstLineChars="200"/>
        <w:rPr>
          <w:rFonts w:ascii="宋体" w:hAnsi="宋体"/>
          <w:b/>
          <w:bCs/>
        </w:rPr>
      </w:pPr>
      <w:bookmarkStart w:id="2" w:name="_Toc31653"/>
      <w:bookmarkStart w:id="3" w:name="_Toc466650865"/>
      <w:bookmarkStart w:id="4" w:name="_Toc31494"/>
      <w:bookmarkStart w:id="5" w:name="_Toc466650310"/>
      <w:r>
        <w:rPr>
          <w:rFonts w:hint="eastAsia" w:ascii="宋体" w:hAnsi="宋体"/>
          <w:b/>
          <w:bCs/>
        </w:rPr>
        <w:t>二、项目需求</w:t>
      </w:r>
      <w:bookmarkEnd w:id="2"/>
      <w:bookmarkEnd w:id="3"/>
      <w:bookmarkEnd w:id="4"/>
      <w:bookmarkEnd w:id="5"/>
    </w:p>
    <w:p>
      <w:pPr>
        <w:ind w:firstLine="482" w:firstLineChars="200"/>
        <w:rPr>
          <w:rFonts w:ascii="宋体" w:hAnsi="宋体"/>
          <w:b/>
          <w:bCs/>
        </w:rPr>
      </w:pPr>
      <w:r>
        <w:rPr>
          <w:rFonts w:hint="eastAsia" w:ascii="宋体" w:hAnsi="宋体"/>
          <w:b/>
          <w:bCs/>
        </w:rPr>
        <w:t>2.1 基本要求</w:t>
      </w:r>
    </w:p>
    <w:p>
      <w:pPr>
        <w:pStyle w:val="7"/>
        <w:spacing w:line="360" w:lineRule="auto"/>
        <w:ind w:firstLineChars="200"/>
        <w:rPr>
          <w:rFonts w:hAnsi="宋体"/>
          <w:color w:val="000000"/>
          <w:kern w:val="58"/>
        </w:rPr>
      </w:pPr>
      <w:r>
        <w:rPr>
          <w:rFonts w:hint="eastAsia" w:hAnsi="宋体"/>
          <w:color w:val="000000"/>
          <w:kern w:val="58"/>
        </w:rPr>
        <w:t>2.1.1本项目供货范围包括：</w:t>
      </w:r>
    </w:p>
    <w:p>
      <w:pPr>
        <w:pStyle w:val="7"/>
        <w:spacing w:line="360" w:lineRule="auto"/>
        <w:ind w:firstLineChars="200"/>
        <w:rPr>
          <w:rFonts w:hAnsi="宋体"/>
          <w:color w:val="000000"/>
          <w:kern w:val="58"/>
        </w:rPr>
      </w:pPr>
      <w:r>
        <w:rPr>
          <w:rFonts w:hint="eastAsia" w:hAnsi="宋体"/>
          <w:color w:val="000000"/>
          <w:kern w:val="58"/>
        </w:rPr>
        <w:t>2.1.1.1宁波市轨道交通天童庄车辆段电客车架修专用工装（贯通道防护工装、贯通道吊运工装、车钩板搬运工装等7类工装）设计、制造、包装、运输、供货、装卸、售后服务、设计联络、技术文件及图纸提交等全过程服务。</w:t>
      </w:r>
    </w:p>
    <w:p>
      <w:pPr>
        <w:pStyle w:val="7"/>
        <w:spacing w:line="360" w:lineRule="auto"/>
        <w:ind w:firstLineChars="200"/>
        <w:rPr>
          <w:rFonts w:hAnsi="宋体"/>
          <w:color w:val="000000"/>
          <w:kern w:val="58"/>
        </w:rPr>
      </w:pPr>
      <w:r>
        <w:rPr>
          <w:rFonts w:hint="eastAsia" w:hAnsi="宋体"/>
          <w:color w:val="000000"/>
          <w:kern w:val="58"/>
        </w:rPr>
        <w:t>2.1.1.2工装名称及数量具体情况详见本章（第2.2）项目需求。</w:t>
      </w:r>
    </w:p>
    <w:p>
      <w:pPr>
        <w:pStyle w:val="7"/>
        <w:spacing w:line="360" w:lineRule="auto"/>
        <w:ind w:firstLineChars="200"/>
        <w:rPr>
          <w:rFonts w:hAnsi="宋体"/>
          <w:color w:val="000000"/>
          <w:kern w:val="58"/>
        </w:rPr>
      </w:pPr>
      <w:r>
        <w:rPr>
          <w:rFonts w:hint="eastAsia" w:hAnsi="宋体"/>
          <w:color w:val="000000"/>
          <w:kern w:val="58"/>
        </w:rPr>
        <w:t>2.1.2本技术规格书仅提出了工装的用途、功能、基本技术参数、检验及验收等基本的技术要求，详细的工装参数需比选申请人在合同签订后到招标人现场进行测量。</w:t>
      </w:r>
    </w:p>
    <w:p>
      <w:pPr>
        <w:pStyle w:val="7"/>
        <w:spacing w:line="360" w:lineRule="auto"/>
        <w:ind w:firstLineChars="200"/>
        <w:rPr>
          <w:rFonts w:hAnsi="宋体"/>
          <w:color w:val="000000"/>
          <w:kern w:val="58"/>
        </w:rPr>
      </w:pPr>
      <w:r>
        <w:rPr>
          <w:rFonts w:hint="eastAsia" w:hAnsi="宋体"/>
          <w:color w:val="000000"/>
          <w:kern w:val="58"/>
        </w:rPr>
        <w:t>2.1.3在合同执行期间，若比选申请人在技术、服务或供货等方面不能满足招标人要求，招标人有权要求其无条件更换。</w:t>
      </w:r>
    </w:p>
    <w:p>
      <w:pPr>
        <w:pStyle w:val="7"/>
        <w:spacing w:line="360" w:lineRule="auto"/>
        <w:ind w:firstLineChars="200"/>
        <w:rPr>
          <w:rFonts w:hAnsi="宋体"/>
          <w:color w:val="000000"/>
          <w:kern w:val="58"/>
        </w:rPr>
      </w:pPr>
      <w:r>
        <w:rPr>
          <w:rFonts w:hint="eastAsia" w:hAnsi="宋体"/>
          <w:color w:val="000000"/>
          <w:kern w:val="58"/>
        </w:rPr>
        <w:t>2.1.4本技术规格书表并未充分引述有关标准和规范的条文，提出的是最低限度的技术要求，比选申请人应提供符合本需求书和工业制造标准的优质产品。</w:t>
      </w:r>
    </w:p>
    <w:p>
      <w:pPr>
        <w:pStyle w:val="7"/>
        <w:spacing w:line="360" w:lineRule="auto"/>
        <w:ind w:firstLineChars="200"/>
        <w:rPr>
          <w:rFonts w:hAnsi="宋体"/>
          <w:color w:val="000000"/>
          <w:kern w:val="58"/>
        </w:rPr>
      </w:pPr>
      <w:r>
        <w:rPr>
          <w:rFonts w:hint="eastAsia" w:hAnsi="宋体"/>
          <w:color w:val="000000"/>
          <w:kern w:val="58"/>
        </w:rPr>
        <w:t>2.1.5如果比选申请人以书面形式对本需求书的条文提出完全响应，并提出具体技术方案，则意味着比选申请人承诺所提供的工装完全符合本需求书的要求；如有异议，比选申请人应按投标文件格式要求加以详细描述。</w:t>
      </w:r>
    </w:p>
    <w:p>
      <w:pPr>
        <w:pStyle w:val="7"/>
        <w:spacing w:line="360" w:lineRule="auto"/>
        <w:ind w:firstLineChars="200"/>
        <w:rPr>
          <w:rFonts w:hAnsi="宋体"/>
          <w:color w:val="000000"/>
          <w:kern w:val="58"/>
        </w:rPr>
      </w:pPr>
      <w:r>
        <w:rPr>
          <w:rFonts w:hint="eastAsia" w:hAnsi="宋体"/>
          <w:color w:val="000000"/>
          <w:kern w:val="58"/>
        </w:rPr>
        <w:t>2.1.6比选申请人应保证招标人在中华人民共和国境内使用工装及服务或其任何一部分时，免受第三方提出侵犯其任何专利、注册的设计、版权、商标或商品名称或其他知识产权工业设计权的起诉及索赔。</w:t>
      </w:r>
    </w:p>
    <w:p>
      <w:pPr>
        <w:pStyle w:val="7"/>
        <w:spacing w:line="360" w:lineRule="auto"/>
        <w:ind w:firstLineChars="200"/>
        <w:rPr>
          <w:rFonts w:hAnsi="宋体"/>
          <w:color w:val="000000"/>
          <w:kern w:val="58"/>
        </w:rPr>
      </w:pPr>
      <w:r>
        <w:rPr>
          <w:rFonts w:hint="eastAsia" w:hAnsi="宋体"/>
          <w:color w:val="000000"/>
          <w:kern w:val="58"/>
        </w:rPr>
        <w:t>2.1.7本需求书所使用的标准如与比选申请人所执行的标准不一致时，比选申请人可以采用相应的国际标准替代，但比选申请人应确认替代标准高于需求书所列标准，并在投标文件中加以说明。</w:t>
      </w:r>
    </w:p>
    <w:p>
      <w:pPr>
        <w:pStyle w:val="7"/>
        <w:spacing w:line="360" w:lineRule="auto"/>
        <w:ind w:firstLineChars="200"/>
        <w:rPr>
          <w:rFonts w:hAnsi="宋体"/>
          <w:color w:val="000000"/>
          <w:kern w:val="58"/>
        </w:rPr>
      </w:pPr>
      <w:r>
        <w:rPr>
          <w:rFonts w:hint="eastAsia" w:hAnsi="宋体"/>
          <w:color w:val="000000"/>
          <w:kern w:val="58"/>
        </w:rPr>
        <w:t>2.1.8本需求书经招标人、比选申请人双方确认后形成订货合同的技术附件，与合同正文具同等效力。</w:t>
      </w:r>
    </w:p>
    <w:p>
      <w:pPr>
        <w:pStyle w:val="7"/>
        <w:spacing w:line="360" w:lineRule="auto"/>
        <w:ind w:firstLineChars="200"/>
        <w:rPr>
          <w:rFonts w:hAnsi="宋体"/>
          <w:color w:val="000000"/>
          <w:kern w:val="58"/>
        </w:rPr>
      </w:pPr>
      <w:r>
        <w:rPr>
          <w:rFonts w:hint="eastAsia" w:hAnsi="宋体"/>
          <w:color w:val="000000"/>
          <w:kern w:val="58"/>
        </w:rPr>
        <w:t>2.1.9凡是本技术规格书未作说明和要求的部分则表明是标准的结构或配置，比选申请人应将其列入标准结构或配置的内容之中。</w:t>
      </w:r>
    </w:p>
    <w:p>
      <w:pPr>
        <w:ind w:firstLine="482" w:firstLineChars="200"/>
        <w:rPr>
          <w:rFonts w:ascii="宋体" w:hAnsi="宋体"/>
          <w:b/>
          <w:bCs/>
        </w:rPr>
      </w:pPr>
      <w:r>
        <w:rPr>
          <w:rFonts w:hint="eastAsia" w:ascii="宋体" w:hAnsi="宋体"/>
          <w:b/>
          <w:bCs/>
        </w:rPr>
        <w:t>2.2项目需求</w:t>
      </w:r>
    </w:p>
    <w:tbl>
      <w:tblPr>
        <w:tblStyle w:val="17"/>
        <w:tblW w:w="9795" w:type="dxa"/>
        <w:tblInd w:w="94" w:type="dxa"/>
        <w:tblLayout w:type="fixed"/>
        <w:tblCellMar>
          <w:top w:w="0" w:type="dxa"/>
          <w:left w:w="108" w:type="dxa"/>
          <w:bottom w:w="0" w:type="dxa"/>
          <w:right w:w="108" w:type="dxa"/>
        </w:tblCellMar>
      </w:tblPr>
      <w:tblGrid>
        <w:gridCol w:w="723"/>
        <w:gridCol w:w="3402"/>
        <w:gridCol w:w="1985"/>
        <w:gridCol w:w="850"/>
        <w:gridCol w:w="992"/>
        <w:gridCol w:w="1843"/>
      </w:tblGrid>
      <w:tr>
        <w:tblPrEx>
          <w:tblLayout w:type="fixed"/>
          <w:tblCellMar>
            <w:top w:w="0" w:type="dxa"/>
            <w:left w:w="108" w:type="dxa"/>
            <w:bottom w:w="0" w:type="dxa"/>
            <w:right w:w="108" w:type="dxa"/>
          </w:tblCellMar>
        </w:tblPrEx>
        <w:trPr>
          <w:trHeight w:val="579" w:hRule="atLeast"/>
          <w:tblHeader/>
        </w:trPr>
        <w:tc>
          <w:tcPr>
            <w:tcW w:w="723"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黑体" w:hAnsi="黑体" w:eastAsia="黑体" w:cs="宋体"/>
                <w:kern w:val="0"/>
                <w:sz w:val="21"/>
                <w:szCs w:val="21"/>
              </w:rPr>
            </w:pPr>
            <w:r>
              <w:rPr>
                <w:rFonts w:hint="eastAsia" w:ascii="黑体" w:hAnsi="黑体" w:eastAsia="黑体" w:cs="宋体"/>
                <w:kern w:val="0"/>
                <w:sz w:val="21"/>
                <w:szCs w:val="21"/>
              </w:rPr>
              <w:t>序号</w:t>
            </w:r>
          </w:p>
        </w:tc>
        <w:tc>
          <w:tcPr>
            <w:tcW w:w="3402" w:type="dxa"/>
            <w:tcBorders>
              <w:top w:val="single" w:color="auto" w:sz="4" w:space="0"/>
              <w:left w:val="nil"/>
              <w:bottom w:val="single" w:color="auto" w:sz="4" w:space="0"/>
              <w:right w:val="single" w:color="auto" w:sz="4" w:space="0"/>
            </w:tcBorders>
            <w:vAlign w:val="center"/>
          </w:tcPr>
          <w:p>
            <w:pPr>
              <w:widowControl/>
              <w:spacing w:line="400" w:lineRule="exact"/>
              <w:jc w:val="center"/>
              <w:rPr>
                <w:rFonts w:ascii="黑体" w:hAnsi="黑体" w:eastAsia="黑体" w:cs="宋体"/>
                <w:kern w:val="0"/>
                <w:sz w:val="21"/>
                <w:szCs w:val="21"/>
              </w:rPr>
            </w:pPr>
            <w:r>
              <w:rPr>
                <w:rFonts w:hint="eastAsia" w:ascii="黑体" w:hAnsi="黑体" w:eastAsia="黑体" w:cs="宋体"/>
                <w:kern w:val="0"/>
                <w:sz w:val="21"/>
                <w:szCs w:val="21"/>
              </w:rPr>
              <w:t>工装名称</w:t>
            </w:r>
          </w:p>
        </w:tc>
        <w:tc>
          <w:tcPr>
            <w:tcW w:w="1985" w:type="dxa"/>
            <w:tcBorders>
              <w:top w:val="single" w:color="auto" w:sz="4" w:space="0"/>
              <w:left w:val="nil"/>
              <w:bottom w:val="single" w:color="auto" w:sz="4" w:space="0"/>
              <w:right w:val="single" w:color="auto" w:sz="4" w:space="0"/>
            </w:tcBorders>
            <w:vAlign w:val="center"/>
          </w:tcPr>
          <w:p>
            <w:pPr>
              <w:widowControl/>
              <w:spacing w:line="400" w:lineRule="exact"/>
              <w:jc w:val="center"/>
              <w:rPr>
                <w:rFonts w:ascii="黑体" w:hAnsi="黑体" w:eastAsia="黑体" w:cs="宋体"/>
                <w:kern w:val="0"/>
                <w:sz w:val="21"/>
                <w:szCs w:val="21"/>
              </w:rPr>
            </w:pPr>
            <w:r>
              <w:rPr>
                <w:rFonts w:hint="eastAsia" w:ascii="黑体" w:hAnsi="黑体" w:eastAsia="黑体" w:cs="宋体"/>
                <w:kern w:val="0"/>
                <w:sz w:val="21"/>
                <w:szCs w:val="21"/>
              </w:rPr>
              <w:t>用途</w:t>
            </w:r>
          </w:p>
        </w:tc>
        <w:tc>
          <w:tcPr>
            <w:tcW w:w="850" w:type="dxa"/>
            <w:tcBorders>
              <w:top w:val="single" w:color="auto" w:sz="4" w:space="0"/>
              <w:left w:val="nil"/>
              <w:bottom w:val="single" w:color="auto" w:sz="4" w:space="0"/>
              <w:right w:val="single" w:color="auto" w:sz="4" w:space="0"/>
            </w:tcBorders>
            <w:vAlign w:val="center"/>
          </w:tcPr>
          <w:p>
            <w:pPr>
              <w:widowControl/>
              <w:spacing w:line="400" w:lineRule="exact"/>
              <w:jc w:val="center"/>
              <w:rPr>
                <w:rFonts w:ascii="黑体" w:hAnsi="黑体" w:eastAsia="黑体" w:cs="宋体"/>
                <w:kern w:val="0"/>
                <w:sz w:val="21"/>
                <w:szCs w:val="21"/>
              </w:rPr>
            </w:pPr>
            <w:r>
              <w:rPr>
                <w:rFonts w:hint="eastAsia" w:ascii="黑体" w:hAnsi="黑体" w:eastAsia="黑体" w:cs="宋体"/>
                <w:kern w:val="0"/>
                <w:sz w:val="21"/>
                <w:szCs w:val="21"/>
              </w:rPr>
              <w:t>单位</w:t>
            </w:r>
          </w:p>
        </w:tc>
        <w:tc>
          <w:tcPr>
            <w:tcW w:w="992" w:type="dxa"/>
            <w:tcBorders>
              <w:top w:val="single" w:color="auto" w:sz="4" w:space="0"/>
              <w:left w:val="nil"/>
              <w:bottom w:val="single" w:color="auto" w:sz="4" w:space="0"/>
              <w:right w:val="single" w:color="auto" w:sz="4" w:space="0"/>
            </w:tcBorders>
            <w:vAlign w:val="center"/>
          </w:tcPr>
          <w:p>
            <w:pPr>
              <w:widowControl/>
              <w:spacing w:line="400" w:lineRule="exact"/>
              <w:jc w:val="center"/>
              <w:rPr>
                <w:rFonts w:ascii="黑体" w:hAnsi="黑体" w:eastAsia="黑体" w:cs="宋体"/>
                <w:kern w:val="0"/>
                <w:sz w:val="21"/>
                <w:szCs w:val="21"/>
              </w:rPr>
            </w:pPr>
            <w:r>
              <w:rPr>
                <w:rFonts w:hint="eastAsia" w:ascii="黑体" w:hAnsi="黑体" w:eastAsia="黑体" w:cs="宋体"/>
                <w:kern w:val="0"/>
                <w:sz w:val="21"/>
                <w:szCs w:val="21"/>
              </w:rPr>
              <w:t>数量</w:t>
            </w:r>
          </w:p>
        </w:tc>
        <w:tc>
          <w:tcPr>
            <w:tcW w:w="1843" w:type="dxa"/>
            <w:tcBorders>
              <w:top w:val="single" w:color="auto" w:sz="4" w:space="0"/>
              <w:left w:val="nil"/>
              <w:bottom w:val="single" w:color="auto" w:sz="4" w:space="0"/>
              <w:right w:val="single" w:color="auto" w:sz="4" w:space="0"/>
            </w:tcBorders>
            <w:vAlign w:val="center"/>
          </w:tcPr>
          <w:p>
            <w:pPr>
              <w:widowControl/>
              <w:spacing w:line="400" w:lineRule="exact"/>
              <w:jc w:val="center"/>
              <w:rPr>
                <w:rFonts w:ascii="黑体" w:hAnsi="黑体" w:eastAsia="黑体" w:cs="宋体"/>
                <w:kern w:val="0"/>
                <w:sz w:val="21"/>
                <w:szCs w:val="21"/>
              </w:rPr>
            </w:pPr>
            <w:r>
              <w:rPr>
                <w:rFonts w:hint="eastAsia" w:ascii="黑体" w:hAnsi="黑体" w:eastAsia="黑体" w:cs="宋体"/>
                <w:kern w:val="0"/>
                <w:sz w:val="21"/>
                <w:szCs w:val="21"/>
              </w:rPr>
              <w:t>备注</w:t>
            </w:r>
          </w:p>
        </w:tc>
      </w:tr>
      <w:tr>
        <w:tblPrEx>
          <w:tblLayout w:type="fixed"/>
          <w:tblCellMar>
            <w:top w:w="0" w:type="dxa"/>
            <w:left w:w="108" w:type="dxa"/>
            <w:bottom w:w="0" w:type="dxa"/>
            <w:right w:w="108" w:type="dxa"/>
          </w:tblCellMar>
        </w:tblPrEx>
        <w:trPr>
          <w:trHeight w:val="560" w:hRule="atLeast"/>
        </w:trPr>
        <w:tc>
          <w:tcPr>
            <w:tcW w:w="723" w:type="dxa"/>
            <w:tcBorders>
              <w:top w:val="nil"/>
              <w:left w:val="single" w:color="auto" w:sz="4" w:space="0"/>
              <w:bottom w:val="single" w:color="auto" w:sz="4" w:space="0"/>
              <w:right w:val="single" w:color="auto" w:sz="4" w:space="0"/>
            </w:tcBorders>
            <w:vAlign w:val="center"/>
          </w:tcPr>
          <w:p>
            <w:pPr>
              <w:widowControl/>
              <w:spacing w:line="400" w:lineRule="exact"/>
              <w:jc w:val="center"/>
              <w:rPr>
                <w:rFonts w:cs="宋体" w:asciiTheme="minorEastAsia" w:hAnsiTheme="minorEastAsia" w:eastAsiaTheme="minorEastAsia"/>
                <w:kern w:val="0"/>
                <w:sz w:val="21"/>
                <w:szCs w:val="21"/>
              </w:rPr>
            </w:pPr>
            <w:r>
              <w:rPr>
                <w:rFonts w:hint="eastAsia" w:cs="宋体" w:asciiTheme="minorEastAsia" w:hAnsiTheme="minorEastAsia" w:eastAsiaTheme="minorEastAsia"/>
                <w:kern w:val="0"/>
                <w:sz w:val="21"/>
                <w:szCs w:val="21"/>
              </w:rPr>
              <w:t>1</w:t>
            </w:r>
          </w:p>
        </w:tc>
        <w:tc>
          <w:tcPr>
            <w:tcW w:w="3402" w:type="dxa"/>
            <w:tcBorders>
              <w:top w:val="nil"/>
              <w:left w:val="nil"/>
              <w:bottom w:val="single" w:color="auto" w:sz="4" w:space="0"/>
              <w:right w:val="single" w:color="auto" w:sz="4" w:space="0"/>
            </w:tcBorders>
            <w:vAlign w:val="center"/>
          </w:tcPr>
          <w:p>
            <w:pPr>
              <w:jc w:val="center"/>
              <w:rPr>
                <w:rFonts w:cs="宋体"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贯通道防护工装</w:t>
            </w:r>
          </w:p>
        </w:tc>
        <w:tc>
          <w:tcPr>
            <w:tcW w:w="1985" w:type="dxa"/>
            <w:tcBorders>
              <w:top w:val="nil"/>
              <w:left w:val="nil"/>
              <w:bottom w:val="single" w:color="auto" w:sz="4" w:space="0"/>
              <w:right w:val="single" w:color="auto" w:sz="4" w:space="0"/>
            </w:tcBorders>
            <w:vAlign w:val="center"/>
          </w:tcPr>
          <w:p>
            <w:pPr>
              <w:widowControl/>
              <w:spacing w:line="400" w:lineRule="exact"/>
              <w:jc w:val="center"/>
              <w:rPr>
                <w:rFonts w:cs="宋体" w:asciiTheme="minorEastAsia" w:hAnsiTheme="minorEastAsia" w:eastAsiaTheme="minorEastAsia"/>
                <w:kern w:val="0"/>
                <w:sz w:val="21"/>
                <w:szCs w:val="21"/>
              </w:rPr>
            </w:pPr>
            <w:r>
              <w:rPr>
                <w:rFonts w:hint="eastAsia" w:cs="宋体" w:asciiTheme="minorEastAsia" w:hAnsiTheme="minorEastAsia" w:eastAsiaTheme="minorEastAsia"/>
                <w:kern w:val="0"/>
                <w:sz w:val="21"/>
                <w:szCs w:val="21"/>
              </w:rPr>
              <w:t>防护</w:t>
            </w:r>
          </w:p>
        </w:tc>
        <w:tc>
          <w:tcPr>
            <w:tcW w:w="850" w:type="dxa"/>
            <w:tcBorders>
              <w:top w:val="nil"/>
              <w:left w:val="nil"/>
              <w:bottom w:val="single" w:color="auto" w:sz="4" w:space="0"/>
              <w:right w:val="single" w:color="auto" w:sz="4" w:space="0"/>
            </w:tcBorders>
            <w:vAlign w:val="center"/>
          </w:tcPr>
          <w:p>
            <w:pPr>
              <w:widowControl/>
              <w:jc w:val="center"/>
              <w:textAlignment w:val="center"/>
              <w:rPr>
                <w:rFonts w:cs="宋体" w:asciiTheme="minorEastAsia" w:hAnsiTheme="minorEastAsia" w:eastAsiaTheme="minorEastAsia"/>
                <w:kern w:val="0"/>
                <w:sz w:val="21"/>
                <w:szCs w:val="21"/>
              </w:rPr>
            </w:pPr>
            <w:r>
              <w:rPr>
                <w:rFonts w:hint="eastAsia" w:cs="宋体" w:asciiTheme="minorEastAsia" w:hAnsiTheme="minorEastAsia" w:eastAsiaTheme="minorEastAsia"/>
                <w:kern w:val="0"/>
                <w:sz w:val="21"/>
                <w:szCs w:val="21"/>
              </w:rPr>
              <w:t>套</w:t>
            </w:r>
          </w:p>
        </w:tc>
        <w:tc>
          <w:tcPr>
            <w:tcW w:w="992" w:type="dxa"/>
            <w:tcBorders>
              <w:top w:val="nil"/>
              <w:left w:val="nil"/>
              <w:bottom w:val="single" w:color="auto" w:sz="4" w:space="0"/>
              <w:right w:val="single" w:color="auto" w:sz="4" w:space="0"/>
            </w:tcBorders>
            <w:vAlign w:val="center"/>
          </w:tcPr>
          <w:p>
            <w:pPr>
              <w:jc w:val="center"/>
              <w:rPr>
                <w:rFonts w:cs="宋体"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20</w:t>
            </w:r>
          </w:p>
        </w:tc>
        <w:tc>
          <w:tcPr>
            <w:tcW w:w="1843" w:type="dxa"/>
            <w:tcBorders>
              <w:top w:val="nil"/>
              <w:left w:val="nil"/>
              <w:bottom w:val="single" w:color="auto" w:sz="4" w:space="0"/>
              <w:right w:val="single" w:color="auto" w:sz="4" w:space="0"/>
            </w:tcBorders>
            <w:vAlign w:val="center"/>
          </w:tcPr>
          <w:p>
            <w:pPr>
              <w:widowControl/>
              <w:spacing w:line="400" w:lineRule="exact"/>
              <w:jc w:val="center"/>
              <w:rPr>
                <w:rFonts w:cs="宋体" w:asciiTheme="minorEastAsia" w:hAnsiTheme="minorEastAsia" w:eastAsiaTheme="minorEastAsia"/>
                <w:kern w:val="0"/>
                <w:sz w:val="21"/>
                <w:szCs w:val="21"/>
              </w:rPr>
            </w:pPr>
          </w:p>
        </w:tc>
      </w:tr>
      <w:tr>
        <w:tblPrEx>
          <w:tblLayout w:type="fixed"/>
          <w:tblCellMar>
            <w:top w:w="0" w:type="dxa"/>
            <w:left w:w="108" w:type="dxa"/>
            <w:bottom w:w="0" w:type="dxa"/>
            <w:right w:w="108" w:type="dxa"/>
          </w:tblCellMar>
        </w:tblPrEx>
        <w:trPr>
          <w:trHeight w:val="270" w:hRule="atLeast"/>
        </w:trPr>
        <w:tc>
          <w:tcPr>
            <w:tcW w:w="723" w:type="dxa"/>
            <w:tcBorders>
              <w:top w:val="nil"/>
              <w:left w:val="single" w:color="auto" w:sz="4" w:space="0"/>
              <w:bottom w:val="single" w:color="auto" w:sz="4" w:space="0"/>
              <w:right w:val="single" w:color="auto" w:sz="4" w:space="0"/>
            </w:tcBorders>
            <w:vAlign w:val="center"/>
          </w:tcPr>
          <w:p>
            <w:pPr>
              <w:widowControl/>
              <w:spacing w:line="400" w:lineRule="exact"/>
              <w:jc w:val="center"/>
              <w:rPr>
                <w:rFonts w:cs="宋体" w:asciiTheme="minorEastAsia" w:hAnsiTheme="minorEastAsia" w:eastAsiaTheme="minorEastAsia"/>
                <w:kern w:val="0"/>
                <w:sz w:val="21"/>
                <w:szCs w:val="21"/>
              </w:rPr>
            </w:pPr>
            <w:r>
              <w:rPr>
                <w:rFonts w:hint="eastAsia" w:cs="宋体" w:asciiTheme="minorEastAsia" w:hAnsiTheme="minorEastAsia" w:eastAsiaTheme="minorEastAsia"/>
                <w:kern w:val="0"/>
                <w:sz w:val="21"/>
                <w:szCs w:val="21"/>
              </w:rPr>
              <w:t>2</w:t>
            </w:r>
          </w:p>
        </w:tc>
        <w:tc>
          <w:tcPr>
            <w:tcW w:w="3402" w:type="dxa"/>
            <w:tcBorders>
              <w:top w:val="nil"/>
              <w:left w:val="nil"/>
              <w:bottom w:val="single" w:color="auto" w:sz="4" w:space="0"/>
              <w:right w:val="single" w:color="auto" w:sz="4" w:space="0"/>
            </w:tcBorders>
            <w:vAlign w:val="center"/>
          </w:tcPr>
          <w:p>
            <w:pPr>
              <w:jc w:val="center"/>
              <w:rPr>
                <w:rFonts w:cs="宋体"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贯通道吊运工装</w:t>
            </w:r>
          </w:p>
        </w:tc>
        <w:tc>
          <w:tcPr>
            <w:tcW w:w="1985" w:type="dxa"/>
            <w:tcBorders>
              <w:top w:val="nil"/>
              <w:left w:val="nil"/>
              <w:bottom w:val="single" w:color="auto" w:sz="4" w:space="0"/>
              <w:right w:val="single" w:color="auto" w:sz="4" w:space="0"/>
            </w:tcBorders>
            <w:vAlign w:val="center"/>
          </w:tcPr>
          <w:p>
            <w:pPr>
              <w:widowControl/>
              <w:spacing w:line="400" w:lineRule="exact"/>
              <w:jc w:val="center"/>
              <w:rPr>
                <w:rFonts w:cs="宋体" w:asciiTheme="minorEastAsia" w:hAnsiTheme="minorEastAsia" w:eastAsiaTheme="minorEastAsia"/>
                <w:kern w:val="0"/>
                <w:sz w:val="21"/>
                <w:szCs w:val="21"/>
              </w:rPr>
            </w:pPr>
            <w:r>
              <w:rPr>
                <w:rFonts w:hint="eastAsia" w:cs="宋体" w:asciiTheme="minorEastAsia" w:hAnsiTheme="minorEastAsia" w:eastAsiaTheme="minorEastAsia"/>
                <w:kern w:val="0"/>
                <w:sz w:val="21"/>
                <w:szCs w:val="21"/>
              </w:rPr>
              <w:t>吊运</w:t>
            </w:r>
          </w:p>
        </w:tc>
        <w:tc>
          <w:tcPr>
            <w:tcW w:w="850" w:type="dxa"/>
            <w:tcBorders>
              <w:top w:val="nil"/>
              <w:left w:val="nil"/>
              <w:bottom w:val="single" w:color="auto" w:sz="4" w:space="0"/>
              <w:right w:val="single" w:color="auto" w:sz="4" w:space="0"/>
            </w:tcBorders>
            <w:vAlign w:val="center"/>
          </w:tcPr>
          <w:p>
            <w:pPr>
              <w:widowControl/>
              <w:jc w:val="center"/>
              <w:textAlignment w:val="center"/>
              <w:rPr>
                <w:rFonts w:cs="宋体" w:asciiTheme="minorEastAsia" w:hAnsiTheme="minorEastAsia" w:eastAsiaTheme="minorEastAsia"/>
                <w:kern w:val="0"/>
                <w:sz w:val="21"/>
                <w:szCs w:val="21"/>
              </w:rPr>
            </w:pPr>
            <w:r>
              <w:rPr>
                <w:rFonts w:hint="eastAsia" w:cs="宋体" w:asciiTheme="minorEastAsia" w:hAnsiTheme="minorEastAsia" w:eastAsiaTheme="minorEastAsia"/>
                <w:kern w:val="0"/>
                <w:sz w:val="21"/>
                <w:szCs w:val="21"/>
              </w:rPr>
              <w:t>个</w:t>
            </w:r>
          </w:p>
        </w:tc>
        <w:tc>
          <w:tcPr>
            <w:tcW w:w="992" w:type="dxa"/>
            <w:tcBorders>
              <w:top w:val="nil"/>
              <w:left w:val="nil"/>
              <w:bottom w:val="single" w:color="auto" w:sz="4" w:space="0"/>
              <w:right w:val="single" w:color="auto" w:sz="4" w:space="0"/>
            </w:tcBorders>
            <w:vAlign w:val="center"/>
          </w:tcPr>
          <w:p>
            <w:pPr>
              <w:jc w:val="center"/>
              <w:rPr>
                <w:rFonts w:cs="宋体"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2</w:t>
            </w:r>
          </w:p>
        </w:tc>
        <w:tc>
          <w:tcPr>
            <w:tcW w:w="1843" w:type="dxa"/>
            <w:tcBorders>
              <w:top w:val="nil"/>
              <w:left w:val="nil"/>
              <w:bottom w:val="single" w:color="auto" w:sz="4" w:space="0"/>
              <w:right w:val="single" w:color="auto" w:sz="4" w:space="0"/>
            </w:tcBorders>
            <w:vAlign w:val="center"/>
          </w:tcPr>
          <w:p>
            <w:pPr>
              <w:widowControl/>
              <w:spacing w:line="400" w:lineRule="exact"/>
              <w:jc w:val="center"/>
              <w:rPr>
                <w:rFonts w:cs="宋体" w:asciiTheme="minorEastAsia" w:hAnsiTheme="minorEastAsia" w:eastAsiaTheme="minorEastAsia"/>
                <w:kern w:val="0"/>
                <w:sz w:val="21"/>
                <w:szCs w:val="21"/>
              </w:rPr>
            </w:pPr>
          </w:p>
        </w:tc>
      </w:tr>
      <w:tr>
        <w:tblPrEx>
          <w:tblLayout w:type="fixed"/>
          <w:tblCellMar>
            <w:top w:w="0" w:type="dxa"/>
            <w:left w:w="108" w:type="dxa"/>
            <w:bottom w:w="0" w:type="dxa"/>
            <w:right w:w="108" w:type="dxa"/>
          </w:tblCellMar>
        </w:tblPrEx>
        <w:trPr>
          <w:trHeight w:val="270" w:hRule="atLeast"/>
        </w:trPr>
        <w:tc>
          <w:tcPr>
            <w:tcW w:w="723" w:type="dxa"/>
            <w:tcBorders>
              <w:top w:val="nil"/>
              <w:left w:val="single" w:color="auto" w:sz="4" w:space="0"/>
              <w:bottom w:val="single" w:color="auto" w:sz="4" w:space="0"/>
              <w:right w:val="single" w:color="auto" w:sz="4" w:space="0"/>
            </w:tcBorders>
            <w:vAlign w:val="center"/>
          </w:tcPr>
          <w:p>
            <w:pPr>
              <w:widowControl/>
              <w:spacing w:line="400" w:lineRule="exact"/>
              <w:jc w:val="center"/>
              <w:rPr>
                <w:rFonts w:cs="宋体" w:asciiTheme="minorEastAsia" w:hAnsiTheme="minorEastAsia" w:eastAsiaTheme="minorEastAsia"/>
                <w:kern w:val="0"/>
                <w:sz w:val="21"/>
                <w:szCs w:val="21"/>
              </w:rPr>
            </w:pPr>
            <w:r>
              <w:rPr>
                <w:rFonts w:hint="eastAsia" w:cs="宋体" w:asciiTheme="minorEastAsia" w:hAnsiTheme="minorEastAsia" w:eastAsiaTheme="minorEastAsia"/>
                <w:kern w:val="0"/>
                <w:sz w:val="21"/>
                <w:szCs w:val="21"/>
              </w:rPr>
              <w:t>3</w:t>
            </w:r>
          </w:p>
        </w:tc>
        <w:tc>
          <w:tcPr>
            <w:tcW w:w="3402" w:type="dxa"/>
            <w:tcBorders>
              <w:top w:val="nil"/>
              <w:left w:val="nil"/>
              <w:bottom w:val="single" w:color="auto" w:sz="4" w:space="0"/>
              <w:right w:val="single" w:color="auto" w:sz="4" w:space="0"/>
            </w:tcBorders>
            <w:vAlign w:val="center"/>
          </w:tcPr>
          <w:p>
            <w:pPr>
              <w:jc w:val="center"/>
              <w:rPr>
                <w:rFonts w:cs="宋体"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车钩板搬运工装</w:t>
            </w:r>
          </w:p>
        </w:tc>
        <w:tc>
          <w:tcPr>
            <w:tcW w:w="1985" w:type="dxa"/>
            <w:tcBorders>
              <w:top w:val="nil"/>
              <w:left w:val="nil"/>
              <w:bottom w:val="single" w:color="auto" w:sz="4" w:space="0"/>
              <w:right w:val="single" w:color="auto" w:sz="4" w:space="0"/>
            </w:tcBorders>
            <w:vAlign w:val="center"/>
          </w:tcPr>
          <w:p>
            <w:pPr>
              <w:widowControl/>
              <w:spacing w:line="400" w:lineRule="exact"/>
              <w:jc w:val="center"/>
              <w:rPr>
                <w:rFonts w:cs="宋体" w:asciiTheme="minorEastAsia" w:hAnsiTheme="minorEastAsia" w:eastAsiaTheme="minorEastAsia"/>
                <w:kern w:val="0"/>
                <w:sz w:val="21"/>
                <w:szCs w:val="21"/>
              </w:rPr>
            </w:pPr>
            <w:r>
              <w:rPr>
                <w:rFonts w:hint="eastAsia" w:cs="宋体" w:asciiTheme="minorEastAsia" w:hAnsiTheme="minorEastAsia" w:eastAsiaTheme="minorEastAsia"/>
                <w:kern w:val="0"/>
                <w:sz w:val="21"/>
                <w:szCs w:val="21"/>
              </w:rPr>
              <w:t>搬运</w:t>
            </w:r>
          </w:p>
        </w:tc>
        <w:tc>
          <w:tcPr>
            <w:tcW w:w="850" w:type="dxa"/>
            <w:tcBorders>
              <w:top w:val="nil"/>
              <w:left w:val="nil"/>
              <w:bottom w:val="single" w:color="auto" w:sz="4" w:space="0"/>
              <w:right w:val="single" w:color="auto" w:sz="4" w:space="0"/>
            </w:tcBorders>
            <w:vAlign w:val="center"/>
          </w:tcPr>
          <w:p>
            <w:pPr>
              <w:widowControl/>
              <w:jc w:val="center"/>
              <w:textAlignment w:val="center"/>
              <w:rPr>
                <w:rFonts w:cs="宋体" w:asciiTheme="minorEastAsia" w:hAnsiTheme="minorEastAsia" w:eastAsiaTheme="minorEastAsia"/>
                <w:kern w:val="0"/>
                <w:sz w:val="21"/>
                <w:szCs w:val="21"/>
              </w:rPr>
            </w:pPr>
            <w:r>
              <w:rPr>
                <w:rFonts w:hint="eastAsia" w:cs="宋体" w:asciiTheme="minorEastAsia" w:hAnsiTheme="minorEastAsia" w:eastAsiaTheme="minorEastAsia"/>
                <w:kern w:val="0"/>
                <w:sz w:val="21"/>
                <w:szCs w:val="21"/>
              </w:rPr>
              <w:t>台</w:t>
            </w:r>
          </w:p>
        </w:tc>
        <w:tc>
          <w:tcPr>
            <w:tcW w:w="992" w:type="dxa"/>
            <w:tcBorders>
              <w:top w:val="nil"/>
              <w:left w:val="nil"/>
              <w:bottom w:val="single" w:color="auto" w:sz="4" w:space="0"/>
              <w:right w:val="single" w:color="auto" w:sz="4" w:space="0"/>
            </w:tcBorders>
            <w:vAlign w:val="center"/>
          </w:tcPr>
          <w:p>
            <w:pPr>
              <w:jc w:val="center"/>
              <w:rPr>
                <w:rFonts w:cs="宋体"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2</w:t>
            </w:r>
          </w:p>
        </w:tc>
        <w:tc>
          <w:tcPr>
            <w:tcW w:w="1843" w:type="dxa"/>
            <w:tcBorders>
              <w:top w:val="nil"/>
              <w:left w:val="nil"/>
              <w:bottom w:val="single" w:color="auto" w:sz="4" w:space="0"/>
              <w:right w:val="single" w:color="auto" w:sz="4" w:space="0"/>
            </w:tcBorders>
            <w:vAlign w:val="center"/>
          </w:tcPr>
          <w:p>
            <w:pPr>
              <w:widowControl/>
              <w:spacing w:line="400" w:lineRule="exact"/>
              <w:jc w:val="center"/>
              <w:rPr>
                <w:rFonts w:cs="宋体" w:asciiTheme="minorEastAsia" w:hAnsiTheme="minorEastAsia" w:eastAsiaTheme="minorEastAsia"/>
                <w:kern w:val="0"/>
                <w:sz w:val="21"/>
                <w:szCs w:val="21"/>
              </w:rPr>
            </w:pPr>
          </w:p>
        </w:tc>
      </w:tr>
      <w:tr>
        <w:tblPrEx>
          <w:tblLayout w:type="fixed"/>
          <w:tblCellMar>
            <w:top w:w="0" w:type="dxa"/>
            <w:left w:w="108" w:type="dxa"/>
            <w:bottom w:w="0" w:type="dxa"/>
            <w:right w:w="108" w:type="dxa"/>
          </w:tblCellMar>
        </w:tblPrEx>
        <w:trPr>
          <w:trHeight w:val="270" w:hRule="atLeast"/>
        </w:trPr>
        <w:tc>
          <w:tcPr>
            <w:tcW w:w="723" w:type="dxa"/>
            <w:tcBorders>
              <w:top w:val="nil"/>
              <w:left w:val="single" w:color="auto" w:sz="4" w:space="0"/>
              <w:bottom w:val="single" w:color="auto" w:sz="4" w:space="0"/>
              <w:right w:val="single" w:color="auto" w:sz="4" w:space="0"/>
            </w:tcBorders>
            <w:vAlign w:val="center"/>
          </w:tcPr>
          <w:p>
            <w:pPr>
              <w:widowControl/>
              <w:spacing w:line="400" w:lineRule="exact"/>
              <w:jc w:val="center"/>
              <w:rPr>
                <w:rFonts w:cs="宋体" w:asciiTheme="minorEastAsia" w:hAnsiTheme="minorEastAsia" w:eastAsiaTheme="minorEastAsia"/>
                <w:kern w:val="0"/>
                <w:sz w:val="21"/>
                <w:szCs w:val="21"/>
              </w:rPr>
            </w:pPr>
            <w:r>
              <w:rPr>
                <w:rFonts w:hint="eastAsia" w:cs="宋体" w:asciiTheme="minorEastAsia" w:hAnsiTheme="minorEastAsia" w:eastAsiaTheme="minorEastAsia"/>
                <w:kern w:val="0"/>
                <w:sz w:val="21"/>
                <w:szCs w:val="21"/>
              </w:rPr>
              <w:t>4</w:t>
            </w:r>
          </w:p>
        </w:tc>
        <w:tc>
          <w:tcPr>
            <w:tcW w:w="3402" w:type="dxa"/>
            <w:tcBorders>
              <w:top w:val="nil"/>
              <w:left w:val="nil"/>
              <w:bottom w:val="single" w:color="auto" w:sz="4" w:space="0"/>
              <w:right w:val="single" w:color="auto" w:sz="4" w:space="0"/>
            </w:tcBorders>
            <w:vAlign w:val="center"/>
          </w:tcPr>
          <w:p>
            <w:pPr>
              <w:jc w:val="center"/>
              <w:rPr>
                <w:rFonts w:cs="宋体"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 xml:space="preserve">齿轮箱吊杆轴承拆卸工装 </w:t>
            </w:r>
          </w:p>
        </w:tc>
        <w:tc>
          <w:tcPr>
            <w:tcW w:w="1985" w:type="dxa"/>
            <w:tcBorders>
              <w:top w:val="nil"/>
              <w:left w:val="nil"/>
              <w:bottom w:val="single" w:color="auto" w:sz="4" w:space="0"/>
              <w:right w:val="single" w:color="auto" w:sz="4" w:space="0"/>
            </w:tcBorders>
            <w:vAlign w:val="center"/>
          </w:tcPr>
          <w:p>
            <w:pPr>
              <w:widowControl/>
              <w:spacing w:line="400" w:lineRule="exact"/>
              <w:jc w:val="center"/>
              <w:rPr>
                <w:rFonts w:cs="宋体" w:asciiTheme="minorEastAsia" w:hAnsiTheme="minorEastAsia" w:eastAsiaTheme="minorEastAsia"/>
                <w:kern w:val="0"/>
                <w:sz w:val="21"/>
                <w:szCs w:val="21"/>
              </w:rPr>
            </w:pPr>
            <w:r>
              <w:rPr>
                <w:rFonts w:hint="eastAsia" w:cs="宋体" w:asciiTheme="minorEastAsia" w:hAnsiTheme="minorEastAsia" w:eastAsiaTheme="minorEastAsia"/>
                <w:kern w:val="0"/>
                <w:sz w:val="21"/>
                <w:szCs w:val="21"/>
              </w:rPr>
              <w:t>拆装作业</w:t>
            </w:r>
          </w:p>
        </w:tc>
        <w:tc>
          <w:tcPr>
            <w:tcW w:w="850" w:type="dxa"/>
            <w:tcBorders>
              <w:top w:val="nil"/>
              <w:left w:val="nil"/>
              <w:bottom w:val="single" w:color="auto" w:sz="4" w:space="0"/>
              <w:right w:val="single" w:color="auto" w:sz="4" w:space="0"/>
            </w:tcBorders>
            <w:vAlign w:val="center"/>
          </w:tcPr>
          <w:p>
            <w:pPr>
              <w:widowControl/>
              <w:jc w:val="center"/>
              <w:textAlignment w:val="center"/>
              <w:rPr>
                <w:rFonts w:cs="宋体" w:asciiTheme="minorEastAsia" w:hAnsiTheme="minorEastAsia" w:eastAsiaTheme="minorEastAsia"/>
                <w:kern w:val="0"/>
                <w:sz w:val="21"/>
                <w:szCs w:val="21"/>
              </w:rPr>
            </w:pPr>
            <w:r>
              <w:rPr>
                <w:rFonts w:hint="eastAsia" w:cs="宋体" w:asciiTheme="minorEastAsia" w:hAnsiTheme="minorEastAsia" w:eastAsiaTheme="minorEastAsia"/>
                <w:kern w:val="0"/>
                <w:sz w:val="21"/>
                <w:szCs w:val="21"/>
              </w:rPr>
              <w:t>套</w:t>
            </w:r>
          </w:p>
        </w:tc>
        <w:tc>
          <w:tcPr>
            <w:tcW w:w="992" w:type="dxa"/>
            <w:tcBorders>
              <w:top w:val="nil"/>
              <w:left w:val="nil"/>
              <w:bottom w:val="single" w:color="auto" w:sz="4" w:space="0"/>
              <w:right w:val="single" w:color="auto" w:sz="4" w:space="0"/>
            </w:tcBorders>
            <w:vAlign w:val="center"/>
          </w:tcPr>
          <w:p>
            <w:pPr>
              <w:jc w:val="center"/>
              <w:rPr>
                <w:rFonts w:cs="宋体"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2</w:t>
            </w:r>
          </w:p>
        </w:tc>
        <w:tc>
          <w:tcPr>
            <w:tcW w:w="1843" w:type="dxa"/>
            <w:tcBorders>
              <w:top w:val="nil"/>
              <w:left w:val="nil"/>
              <w:bottom w:val="single" w:color="auto" w:sz="4" w:space="0"/>
              <w:right w:val="single" w:color="auto" w:sz="4" w:space="0"/>
            </w:tcBorders>
            <w:vAlign w:val="center"/>
          </w:tcPr>
          <w:p>
            <w:pPr>
              <w:widowControl/>
              <w:spacing w:line="400" w:lineRule="exact"/>
              <w:jc w:val="center"/>
              <w:rPr>
                <w:rFonts w:cs="宋体" w:asciiTheme="minorEastAsia" w:hAnsiTheme="minorEastAsia" w:eastAsiaTheme="minorEastAsia"/>
                <w:kern w:val="0"/>
                <w:sz w:val="21"/>
                <w:szCs w:val="21"/>
              </w:rPr>
            </w:pPr>
          </w:p>
        </w:tc>
      </w:tr>
      <w:tr>
        <w:tblPrEx>
          <w:tblLayout w:type="fixed"/>
          <w:tblCellMar>
            <w:top w:w="0" w:type="dxa"/>
            <w:left w:w="108" w:type="dxa"/>
            <w:bottom w:w="0" w:type="dxa"/>
            <w:right w:w="108" w:type="dxa"/>
          </w:tblCellMar>
        </w:tblPrEx>
        <w:trPr>
          <w:trHeight w:val="270" w:hRule="atLeast"/>
        </w:trPr>
        <w:tc>
          <w:tcPr>
            <w:tcW w:w="723"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cs="宋体" w:asciiTheme="minorEastAsia" w:hAnsiTheme="minorEastAsia" w:eastAsiaTheme="minorEastAsia"/>
                <w:kern w:val="0"/>
                <w:sz w:val="21"/>
                <w:szCs w:val="21"/>
              </w:rPr>
            </w:pPr>
            <w:r>
              <w:rPr>
                <w:rFonts w:hint="eastAsia" w:cs="宋体" w:asciiTheme="minorEastAsia" w:hAnsiTheme="minorEastAsia" w:eastAsiaTheme="minorEastAsia"/>
                <w:kern w:val="0"/>
                <w:sz w:val="21"/>
                <w:szCs w:val="21"/>
              </w:rPr>
              <w:t>5</w:t>
            </w:r>
          </w:p>
        </w:tc>
        <w:tc>
          <w:tcPr>
            <w:tcW w:w="3402" w:type="dxa"/>
            <w:tcBorders>
              <w:top w:val="single" w:color="auto" w:sz="4" w:space="0"/>
              <w:left w:val="nil"/>
              <w:bottom w:val="single" w:color="auto" w:sz="4" w:space="0"/>
              <w:right w:val="single" w:color="auto" w:sz="4" w:space="0"/>
            </w:tcBorders>
            <w:vAlign w:val="center"/>
          </w:tcPr>
          <w:p>
            <w:pPr>
              <w:jc w:val="center"/>
              <w:rPr>
                <w:rFonts w:cs="宋体"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 xml:space="preserve">齿轮箱吊杆轴承压装工装 </w:t>
            </w:r>
          </w:p>
        </w:tc>
        <w:tc>
          <w:tcPr>
            <w:tcW w:w="1985" w:type="dxa"/>
            <w:tcBorders>
              <w:top w:val="single" w:color="auto" w:sz="4" w:space="0"/>
              <w:left w:val="nil"/>
              <w:bottom w:val="single" w:color="auto" w:sz="4" w:space="0"/>
              <w:right w:val="single" w:color="auto" w:sz="4" w:space="0"/>
            </w:tcBorders>
            <w:vAlign w:val="center"/>
          </w:tcPr>
          <w:p>
            <w:pPr>
              <w:widowControl/>
              <w:spacing w:line="400" w:lineRule="exact"/>
              <w:jc w:val="center"/>
              <w:rPr>
                <w:rFonts w:cs="宋体" w:asciiTheme="minorEastAsia" w:hAnsiTheme="minorEastAsia" w:eastAsiaTheme="minorEastAsia"/>
                <w:kern w:val="0"/>
                <w:sz w:val="21"/>
                <w:szCs w:val="21"/>
              </w:rPr>
            </w:pPr>
            <w:r>
              <w:rPr>
                <w:rFonts w:hint="eastAsia" w:cs="宋体" w:asciiTheme="minorEastAsia" w:hAnsiTheme="minorEastAsia" w:eastAsiaTheme="minorEastAsia"/>
                <w:kern w:val="0"/>
                <w:sz w:val="21"/>
                <w:szCs w:val="21"/>
              </w:rPr>
              <w:t>拆装作业</w:t>
            </w:r>
          </w:p>
        </w:tc>
        <w:tc>
          <w:tcPr>
            <w:tcW w:w="850" w:type="dxa"/>
            <w:tcBorders>
              <w:top w:val="single" w:color="auto" w:sz="4" w:space="0"/>
              <w:left w:val="nil"/>
              <w:bottom w:val="single" w:color="auto" w:sz="4" w:space="0"/>
              <w:right w:val="single" w:color="auto" w:sz="4" w:space="0"/>
            </w:tcBorders>
            <w:vAlign w:val="center"/>
          </w:tcPr>
          <w:p>
            <w:pPr>
              <w:widowControl/>
              <w:jc w:val="center"/>
              <w:textAlignment w:val="center"/>
              <w:rPr>
                <w:rFonts w:cs="宋体" w:asciiTheme="minorEastAsia" w:hAnsiTheme="minorEastAsia" w:eastAsiaTheme="minorEastAsia"/>
                <w:kern w:val="0"/>
                <w:sz w:val="21"/>
                <w:szCs w:val="21"/>
              </w:rPr>
            </w:pPr>
            <w:r>
              <w:rPr>
                <w:rFonts w:hint="eastAsia" w:cs="宋体" w:asciiTheme="minorEastAsia" w:hAnsiTheme="minorEastAsia" w:eastAsiaTheme="minorEastAsia"/>
                <w:kern w:val="0"/>
                <w:sz w:val="21"/>
                <w:szCs w:val="21"/>
              </w:rPr>
              <w:t>件</w:t>
            </w:r>
          </w:p>
        </w:tc>
        <w:tc>
          <w:tcPr>
            <w:tcW w:w="992" w:type="dxa"/>
            <w:tcBorders>
              <w:top w:val="single" w:color="auto" w:sz="4" w:space="0"/>
              <w:left w:val="nil"/>
              <w:bottom w:val="single" w:color="auto" w:sz="4" w:space="0"/>
              <w:right w:val="single" w:color="auto" w:sz="4" w:space="0"/>
            </w:tcBorders>
            <w:vAlign w:val="center"/>
          </w:tcPr>
          <w:p>
            <w:pPr>
              <w:jc w:val="center"/>
              <w:rPr>
                <w:rFonts w:cs="宋体"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2</w:t>
            </w:r>
          </w:p>
        </w:tc>
        <w:tc>
          <w:tcPr>
            <w:tcW w:w="1843" w:type="dxa"/>
            <w:tcBorders>
              <w:top w:val="single" w:color="auto" w:sz="4" w:space="0"/>
              <w:left w:val="nil"/>
              <w:bottom w:val="single" w:color="auto" w:sz="4" w:space="0"/>
              <w:right w:val="single" w:color="auto" w:sz="4" w:space="0"/>
            </w:tcBorders>
            <w:vAlign w:val="center"/>
          </w:tcPr>
          <w:p>
            <w:pPr>
              <w:widowControl/>
              <w:spacing w:line="400" w:lineRule="exact"/>
              <w:jc w:val="center"/>
              <w:rPr>
                <w:rFonts w:cs="宋体" w:asciiTheme="minorEastAsia" w:hAnsiTheme="minorEastAsia" w:eastAsiaTheme="minorEastAsia"/>
                <w:kern w:val="0"/>
                <w:sz w:val="21"/>
                <w:szCs w:val="21"/>
              </w:rPr>
            </w:pPr>
          </w:p>
        </w:tc>
      </w:tr>
      <w:tr>
        <w:tblPrEx>
          <w:tblLayout w:type="fixed"/>
          <w:tblCellMar>
            <w:top w:w="0" w:type="dxa"/>
            <w:left w:w="108" w:type="dxa"/>
            <w:bottom w:w="0" w:type="dxa"/>
            <w:right w:w="108" w:type="dxa"/>
          </w:tblCellMar>
        </w:tblPrEx>
        <w:trPr>
          <w:trHeight w:val="270" w:hRule="atLeast"/>
        </w:trPr>
        <w:tc>
          <w:tcPr>
            <w:tcW w:w="723"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cs="宋体" w:asciiTheme="minorEastAsia" w:hAnsiTheme="minorEastAsia" w:eastAsiaTheme="minorEastAsia"/>
                <w:kern w:val="0"/>
                <w:sz w:val="21"/>
                <w:szCs w:val="21"/>
              </w:rPr>
            </w:pPr>
            <w:r>
              <w:rPr>
                <w:rFonts w:hint="eastAsia" w:cs="宋体" w:asciiTheme="minorEastAsia" w:hAnsiTheme="minorEastAsia" w:eastAsiaTheme="minorEastAsia"/>
                <w:kern w:val="0"/>
                <w:sz w:val="21"/>
                <w:szCs w:val="21"/>
              </w:rPr>
              <w:t>6</w:t>
            </w:r>
          </w:p>
        </w:tc>
        <w:tc>
          <w:tcPr>
            <w:tcW w:w="3402" w:type="dxa"/>
            <w:tcBorders>
              <w:top w:val="single" w:color="auto" w:sz="4" w:space="0"/>
              <w:left w:val="nil"/>
              <w:bottom w:val="single" w:color="auto" w:sz="4" w:space="0"/>
              <w:right w:val="single" w:color="auto" w:sz="4" w:space="0"/>
            </w:tcBorders>
            <w:vAlign w:val="center"/>
          </w:tcPr>
          <w:p>
            <w:pPr>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轮毂孔打胶靠模工装</w:t>
            </w:r>
          </w:p>
        </w:tc>
        <w:tc>
          <w:tcPr>
            <w:tcW w:w="1985" w:type="dxa"/>
            <w:tcBorders>
              <w:top w:val="single" w:color="auto" w:sz="4" w:space="0"/>
              <w:left w:val="nil"/>
              <w:bottom w:val="single" w:color="auto" w:sz="4" w:space="0"/>
              <w:right w:val="single" w:color="auto" w:sz="4" w:space="0"/>
            </w:tcBorders>
            <w:vAlign w:val="center"/>
          </w:tcPr>
          <w:p>
            <w:pPr>
              <w:widowControl/>
              <w:spacing w:line="400" w:lineRule="exact"/>
              <w:jc w:val="center"/>
              <w:rPr>
                <w:rFonts w:cs="宋体" w:asciiTheme="minorEastAsia" w:hAnsiTheme="minorEastAsia" w:eastAsiaTheme="minorEastAsia"/>
                <w:kern w:val="0"/>
                <w:sz w:val="21"/>
                <w:szCs w:val="21"/>
              </w:rPr>
            </w:pPr>
            <w:r>
              <w:rPr>
                <w:rFonts w:hint="eastAsia" w:cs="宋体" w:asciiTheme="minorEastAsia" w:hAnsiTheme="minorEastAsia" w:eastAsiaTheme="minorEastAsia"/>
                <w:kern w:val="0"/>
                <w:sz w:val="21"/>
                <w:szCs w:val="21"/>
              </w:rPr>
              <w:t>打胶作业</w:t>
            </w:r>
          </w:p>
        </w:tc>
        <w:tc>
          <w:tcPr>
            <w:tcW w:w="850" w:type="dxa"/>
            <w:tcBorders>
              <w:top w:val="single" w:color="auto" w:sz="4" w:space="0"/>
              <w:left w:val="nil"/>
              <w:bottom w:val="single" w:color="auto" w:sz="4" w:space="0"/>
              <w:right w:val="single" w:color="auto" w:sz="4" w:space="0"/>
            </w:tcBorders>
            <w:vAlign w:val="center"/>
          </w:tcPr>
          <w:p>
            <w:pPr>
              <w:widowControl/>
              <w:jc w:val="center"/>
              <w:textAlignment w:val="center"/>
              <w:rPr>
                <w:rFonts w:cs="宋体" w:asciiTheme="minorEastAsia" w:hAnsiTheme="minorEastAsia" w:eastAsiaTheme="minorEastAsia"/>
                <w:kern w:val="0"/>
                <w:sz w:val="21"/>
                <w:szCs w:val="21"/>
              </w:rPr>
            </w:pPr>
            <w:r>
              <w:rPr>
                <w:rFonts w:hint="eastAsia" w:cs="宋体" w:asciiTheme="minorEastAsia" w:hAnsiTheme="minorEastAsia" w:eastAsiaTheme="minorEastAsia"/>
                <w:kern w:val="0"/>
                <w:sz w:val="21"/>
                <w:szCs w:val="21"/>
              </w:rPr>
              <w:t>套</w:t>
            </w:r>
          </w:p>
        </w:tc>
        <w:tc>
          <w:tcPr>
            <w:tcW w:w="992" w:type="dxa"/>
            <w:tcBorders>
              <w:top w:val="single" w:color="auto" w:sz="4" w:space="0"/>
              <w:left w:val="nil"/>
              <w:bottom w:val="single" w:color="auto" w:sz="4" w:space="0"/>
              <w:right w:val="single" w:color="auto" w:sz="4" w:space="0"/>
            </w:tcBorders>
            <w:vAlign w:val="center"/>
          </w:tcPr>
          <w:p>
            <w:pPr>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2</w:t>
            </w:r>
          </w:p>
        </w:tc>
        <w:tc>
          <w:tcPr>
            <w:tcW w:w="1843" w:type="dxa"/>
            <w:tcBorders>
              <w:top w:val="single" w:color="auto" w:sz="4" w:space="0"/>
              <w:left w:val="nil"/>
              <w:bottom w:val="single" w:color="auto" w:sz="4" w:space="0"/>
              <w:right w:val="single" w:color="auto" w:sz="4" w:space="0"/>
            </w:tcBorders>
            <w:vAlign w:val="center"/>
          </w:tcPr>
          <w:p>
            <w:pPr>
              <w:widowControl/>
              <w:spacing w:line="400" w:lineRule="exact"/>
              <w:jc w:val="center"/>
              <w:rPr>
                <w:rFonts w:cs="宋体" w:asciiTheme="minorEastAsia" w:hAnsiTheme="minorEastAsia" w:eastAsiaTheme="minorEastAsia"/>
                <w:kern w:val="0"/>
                <w:sz w:val="21"/>
                <w:szCs w:val="21"/>
              </w:rPr>
            </w:pPr>
          </w:p>
        </w:tc>
      </w:tr>
      <w:tr>
        <w:tblPrEx>
          <w:tblLayout w:type="fixed"/>
          <w:tblCellMar>
            <w:top w:w="0" w:type="dxa"/>
            <w:left w:w="108" w:type="dxa"/>
            <w:bottom w:w="0" w:type="dxa"/>
            <w:right w:w="108" w:type="dxa"/>
          </w:tblCellMar>
        </w:tblPrEx>
        <w:trPr>
          <w:trHeight w:val="270" w:hRule="atLeast"/>
        </w:trPr>
        <w:tc>
          <w:tcPr>
            <w:tcW w:w="723"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cs="宋体" w:asciiTheme="minorEastAsia" w:hAnsiTheme="minorEastAsia" w:eastAsiaTheme="minorEastAsia"/>
                <w:kern w:val="0"/>
                <w:sz w:val="21"/>
                <w:szCs w:val="21"/>
              </w:rPr>
            </w:pPr>
            <w:r>
              <w:rPr>
                <w:rFonts w:hint="eastAsia" w:cs="宋体" w:asciiTheme="minorEastAsia" w:hAnsiTheme="minorEastAsia" w:eastAsiaTheme="minorEastAsia"/>
                <w:kern w:val="0"/>
                <w:sz w:val="21"/>
                <w:szCs w:val="21"/>
              </w:rPr>
              <w:t>7</w:t>
            </w:r>
          </w:p>
        </w:tc>
        <w:tc>
          <w:tcPr>
            <w:tcW w:w="3402" w:type="dxa"/>
            <w:tcBorders>
              <w:top w:val="single" w:color="auto" w:sz="4" w:space="0"/>
              <w:left w:val="nil"/>
              <w:bottom w:val="single" w:color="auto" w:sz="4" w:space="0"/>
              <w:right w:val="single" w:color="auto" w:sz="4" w:space="0"/>
            </w:tcBorders>
            <w:vAlign w:val="center"/>
          </w:tcPr>
          <w:p>
            <w:pPr>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转向架组装轮对定位工装</w:t>
            </w:r>
          </w:p>
        </w:tc>
        <w:tc>
          <w:tcPr>
            <w:tcW w:w="1985" w:type="dxa"/>
            <w:tcBorders>
              <w:top w:val="single" w:color="auto" w:sz="4" w:space="0"/>
              <w:left w:val="nil"/>
              <w:bottom w:val="single" w:color="auto" w:sz="4" w:space="0"/>
              <w:right w:val="single" w:color="auto" w:sz="4" w:space="0"/>
            </w:tcBorders>
            <w:vAlign w:val="center"/>
          </w:tcPr>
          <w:p>
            <w:pPr>
              <w:widowControl/>
              <w:spacing w:line="400" w:lineRule="exact"/>
              <w:jc w:val="center"/>
              <w:rPr>
                <w:rFonts w:cs="宋体" w:asciiTheme="minorEastAsia" w:hAnsiTheme="minorEastAsia" w:eastAsiaTheme="minorEastAsia"/>
                <w:kern w:val="0"/>
                <w:sz w:val="21"/>
                <w:szCs w:val="21"/>
              </w:rPr>
            </w:pPr>
            <w:r>
              <w:rPr>
                <w:rFonts w:hint="eastAsia" w:cs="宋体" w:asciiTheme="minorEastAsia" w:hAnsiTheme="minorEastAsia" w:eastAsiaTheme="minorEastAsia"/>
                <w:kern w:val="0"/>
                <w:sz w:val="21"/>
                <w:szCs w:val="21"/>
              </w:rPr>
              <w:t>轮对定位</w:t>
            </w:r>
          </w:p>
        </w:tc>
        <w:tc>
          <w:tcPr>
            <w:tcW w:w="850" w:type="dxa"/>
            <w:tcBorders>
              <w:top w:val="single" w:color="auto" w:sz="4" w:space="0"/>
              <w:left w:val="nil"/>
              <w:bottom w:val="single" w:color="auto" w:sz="4" w:space="0"/>
              <w:right w:val="single" w:color="auto" w:sz="4" w:space="0"/>
            </w:tcBorders>
            <w:vAlign w:val="center"/>
          </w:tcPr>
          <w:p>
            <w:pPr>
              <w:widowControl/>
              <w:jc w:val="center"/>
              <w:textAlignment w:val="center"/>
              <w:rPr>
                <w:rFonts w:cs="宋体" w:asciiTheme="minorEastAsia" w:hAnsiTheme="minorEastAsia" w:eastAsiaTheme="minorEastAsia"/>
                <w:kern w:val="0"/>
                <w:sz w:val="21"/>
                <w:szCs w:val="21"/>
              </w:rPr>
            </w:pPr>
            <w:r>
              <w:rPr>
                <w:rFonts w:hint="eastAsia" w:cs="宋体" w:asciiTheme="minorEastAsia" w:hAnsiTheme="minorEastAsia" w:eastAsiaTheme="minorEastAsia"/>
                <w:kern w:val="0"/>
                <w:sz w:val="21"/>
                <w:szCs w:val="21"/>
              </w:rPr>
              <w:t>套</w:t>
            </w:r>
          </w:p>
        </w:tc>
        <w:tc>
          <w:tcPr>
            <w:tcW w:w="992" w:type="dxa"/>
            <w:tcBorders>
              <w:top w:val="single" w:color="auto" w:sz="4" w:space="0"/>
              <w:left w:val="nil"/>
              <w:bottom w:val="single" w:color="auto" w:sz="4" w:space="0"/>
              <w:right w:val="single" w:color="auto" w:sz="4" w:space="0"/>
            </w:tcBorders>
            <w:vAlign w:val="center"/>
          </w:tcPr>
          <w:p>
            <w:pPr>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2</w:t>
            </w:r>
          </w:p>
        </w:tc>
        <w:tc>
          <w:tcPr>
            <w:tcW w:w="1843" w:type="dxa"/>
            <w:tcBorders>
              <w:top w:val="single" w:color="auto" w:sz="4" w:space="0"/>
              <w:left w:val="nil"/>
              <w:bottom w:val="single" w:color="auto" w:sz="4" w:space="0"/>
              <w:right w:val="single" w:color="auto" w:sz="4" w:space="0"/>
            </w:tcBorders>
            <w:vAlign w:val="center"/>
          </w:tcPr>
          <w:p>
            <w:pPr>
              <w:widowControl/>
              <w:spacing w:line="400" w:lineRule="exact"/>
              <w:jc w:val="center"/>
              <w:rPr>
                <w:rFonts w:cs="宋体" w:asciiTheme="minorEastAsia" w:hAnsiTheme="minorEastAsia" w:eastAsiaTheme="minorEastAsia"/>
                <w:kern w:val="0"/>
                <w:sz w:val="21"/>
                <w:szCs w:val="21"/>
              </w:rPr>
            </w:pPr>
          </w:p>
        </w:tc>
      </w:tr>
    </w:tbl>
    <w:p>
      <w:pPr>
        <w:ind w:firstLine="525" w:firstLineChars="250"/>
        <w:rPr>
          <w:rFonts w:ascii="宋体" w:hAnsi="宋体"/>
          <w:color w:val="000000"/>
          <w:kern w:val="58"/>
          <w:sz w:val="21"/>
          <w:szCs w:val="20"/>
        </w:rPr>
      </w:pPr>
      <w:r>
        <w:rPr>
          <w:rFonts w:hint="eastAsia" w:ascii="宋体" w:hAnsi="宋体"/>
          <w:color w:val="000000"/>
          <w:kern w:val="58"/>
          <w:sz w:val="21"/>
          <w:szCs w:val="20"/>
        </w:rPr>
        <w:t>具体定制工装图纸详见附件（另册提供）。</w:t>
      </w:r>
    </w:p>
    <w:p>
      <w:pPr>
        <w:ind w:firstLine="482" w:firstLineChars="200"/>
        <w:rPr>
          <w:rFonts w:ascii="宋体" w:hAnsi="宋体"/>
          <w:b/>
          <w:bCs/>
        </w:rPr>
      </w:pPr>
      <w:r>
        <w:rPr>
          <w:rFonts w:hint="eastAsia" w:ascii="宋体" w:hAnsi="宋体"/>
          <w:b/>
          <w:bCs/>
        </w:rPr>
        <w:t>2.3服务项目</w:t>
      </w:r>
    </w:p>
    <w:p>
      <w:pPr>
        <w:ind w:firstLine="525" w:firstLineChars="250"/>
        <w:rPr>
          <w:rFonts w:ascii="宋体" w:hAnsi="宋体"/>
          <w:color w:val="000000"/>
          <w:kern w:val="58"/>
          <w:sz w:val="21"/>
          <w:szCs w:val="20"/>
        </w:rPr>
      </w:pPr>
      <w:r>
        <w:rPr>
          <w:rFonts w:hint="eastAsia" w:ascii="宋体" w:hAnsi="宋体"/>
          <w:color w:val="000000"/>
          <w:kern w:val="58"/>
          <w:sz w:val="21"/>
          <w:szCs w:val="20"/>
        </w:rPr>
        <w:t>2.3.1工装首件确认和到货后，比选申请人应派技术人员至招标人现场负责工装的现场整改、试用和验收等工作。比选申请人技术人员到达和离开现场的时间，应满足招标人的要求。</w:t>
      </w:r>
    </w:p>
    <w:p>
      <w:pPr>
        <w:ind w:firstLine="525" w:firstLineChars="250"/>
        <w:rPr>
          <w:rFonts w:ascii="宋体" w:hAnsi="宋体"/>
          <w:color w:val="000000"/>
          <w:kern w:val="58"/>
          <w:sz w:val="21"/>
          <w:szCs w:val="20"/>
        </w:rPr>
      </w:pPr>
      <w:r>
        <w:rPr>
          <w:rFonts w:hint="eastAsia" w:ascii="宋体" w:hAnsi="宋体"/>
          <w:color w:val="000000"/>
          <w:kern w:val="58"/>
          <w:sz w:val="21"/>
          <w:szCs w:val="20"/>
        </w:rPr>
        <w:t>2.3.2比选申请人技术人员应履行自己的职责，否则招标人有权提出增加或更换比选申请人技术人员，以及延长工作期限，直至符合工程的要求，由此引起的一切费用由比选申请人负责。</w:t>
      </w:r>
    </w:p>
    <w:p>
      <w:pPr>
        <w:ind w:firstLine="482" w:firstLineChars="200"/>
        <w:rPr>
          <w:rFonts w:ascii="宋体" w:hAnsi="宋体"/>
          <w:b/>
          <w:bCs/>
        </w:rPr>
      </w:pPr>
      <w:r>
        <w:rPr>
          <w:rFonts w:hint="eastAsia" w:ascii="宋体" w:hAnsi="宋体"/>
          <w:b/>
          <w:bCs/>
        </w:rPr>
        <w:t>三、现场工况气候条件</w:t>
      </w:r>
    </w:p>
    <w:p>
      <w:pPr>
        <w:pStyle w:val="7"/>
        <w:spacing w:line="360" w:lineRule="auto"/>
        <w:ind w:firstLine="422" w:firstLineChars="200"/>
        <w:rPr>
          <w:rFonts w:hAnsi="宋体"/>
          <w:b/>
          <w:color w:val="000000"/>
          <w:kern w:val="58"/>
        </w:rPr>
      </w:pPr>
      <w:r>
        <w:rPr>
          <w:rFonts w:hint="eastAsia" w:hAnsi="宋体"/>
          <w:b/>
          <w:color w:val="000000"/>
          <w:kern w:val="58"/>
        </w:rPr>
        <w:t>现场工况：</w:t>
      </w:r>
    </w:p>
    <w:tbl>
      <w:tblPr>
        <w:tblStyle w:val="17"/>
        <w:tblW w:w="8364" w:type="dxa"/>
        <w:tblInd w:w="-34" w:type="dxa"/>
        <w:tblLayout w:type="fixed"/>
        <w:tblCellMar>
          <w:top w:w="0" w:type="dxa"/>
          <w:left w:w="108" w:type="dxa"/>
          <w:bottom w:w="0" w:type="dxa"/>
          <w:right w:w="108" w:type="dxa"/>
        </w:tblCellMar>
      </w:tblPr>
      <w:tblGrid>
        <w:gridCol w:w="2836"/>
        <w:gridCol w:w="5528"/>
      </w:tblGrid>
      <w:tr>
        <w:tblPrEx>
          <w:tblLayout w:type="fixed"/>
          <w:tblCellMar>
            <w:top w:w="0" w:type="dxa"/>
            <w:left w:w="108" w:type="dxa"/>
            <w:bottom w:w="0" w:type="dxa"/>
            <w:right w:w="108" w:type="dxa"/>
          </w:tblCellMar>
        </w:tblPrEx>
        <w:trPr>
          <w:trHeight w:val="285" w:hRule="atLeast"/>
        </w:trPr>
        <w:tc>
          <w:tcPr>
            <w:tcW w:w="2836" w:type="dxa"/>
            <w:vAlign w:val="center"/>
          </w:tcPr>
          <w:p>
            <w:pPr>
              <w:pStyle w:val="7"/>
              <w:spacing w:line="360" w:lineRule="auto"/>
              <w:ind w:firstLineChars="200"/>
              <w:rPr>
                <w:rFonts w:hAnsi="宋体"/>
                <w:color w:val="000000"/>
                <w:kern w:val="58"/>
              </w:rPr>
            </w:pPr>
            <w:r>
              <w:rPr>
                <w:rFonts w:hint="eastAsia" w:hAnsi="宋体"/>
                <w:color w:val="000000"/>
                <w:kern w:val="58"/>
              </w:rPr>
              <w:t>三相交流电电源</w:t>
            </w:r>
          </w:p>
        </w:tc>
        <w:tc>
          <w:tcPr>
            <w:tcW w:w="5528" w:type="dxa"/>
            <w:vAlign w:val="center"/>
          </w:tcPr>
          <w:p>
            <w:pPr>
              <w:pStyle w:val="7"/>
              <w:spacing w:line="360" w:lineRule="auto"/>
              <w:ind w:firstLineChars="200"/>
              <w:rPr>
                <w:rFonts w:hAnsi="宋体"/>
                <w:color w:val="000000"/>
                <w:kern w:val="58"/>
              </w:rPr>
            </w:pPr>
            <w:r>
              <w:rPr>
                <w:rFonts w:hAnsi="宋体"/>
                <w:color w:val="000000"/>
                <w:kern w:val="58"/>
              </w:rPr>
              <w:t>380V±15%</w:t>
            </w:r>
            <w:r>
              <w:rPr>
                <w:rFonts w:hint="eastAsia" w:hAnsi="宋体"/>
                <w:color w:val="000000"/>
                <w:kern w:val="58"/>
              </w:rPr>
              <w:t>，</w:t>
            </w:r>
            <w:r>
              <w:rPr>
                <w:rFonts w:hAnsi="宋体"/>
                <w:color w:val="000000"/>
                <w:kern w:val="58"/>
              </w:rPr>
              <w:t>50Hz±3%</w:t>
            </w:r>
            <w:r>
              <w:rPr>
                <w:rFonts w:hint="eastAsia" w:hAnsi="宋体"/>
                <w:color w:val="000000"/>
                <w:kern w:val="58"/>
              </w:rPr>
              <w:t>；</w:t>
            </w:r>
          </w:p>
        </w:tc>
      </w:tr>
      <w:tr>
        <w:tblPrEx>
          <w:tblLayout w:type="fixed"/>
          <w:tblCellMar>
            <w:top w:w="0" w:type="dxa"/>
            <w:left w:w="108" w:type="dxa"/>
            <w:bottom w:w="0" w:type="dxa"/>
            <w:right w:w="108" w:type="dxa"/>
          </w:tblCellMar>
        </w:tblPrEx>
        <w:trPr>
          <w:trHeight w:val="285" w:hRule="atLeast"/>
        </w:trPr>
        <w:tc>
          <w:tcPr>
            <w:tcW w:w="2836" w:type="dxa"/>
            <w:vAlign w:val="center"/>
          </w:tcPr>
          <w:p>
            <w:pPr>
              <w:pStyle w:val="7"/>
              <w:spacing w:line="360" w:lineRule="auto"/>
              <w:ind w:firstLineChars="200"/>
              <w:rPr>
                <w:rFonts w:hAnsi="宋体"/>
                <w:color w:val="000000"/>
                <w:kern w:val="58"/>
              </w:rPr>
            </w:pPr>
            <w:r>
              <w:rPr>
                <w:rFonts w:hint="eastAsia" w:hAnsi="宋体"/>
                <w:color w:val="000000"/>
                <w:kern w:val="58"/>
              </w:rPr>
              <w:t>单相交流电电源</w:t>
            </w:r>
          </w:p>
        </w:tc>
        <w:tc>
          <w:tcPr>
            <w:tcW w:w="5528" w:type="dxa"/>
            <w:vAlign w:val="center"/>
          </w:tcPr>
          <w:p>
            <w:pPr>
              <w:pStyle w:val="7"/>
              <w:spacing w:line="360" w:lineRule="auto"/>
              <w:ind w:firstLineChars="200"/>
              <w:rPr>
                <w:rFonts w:hAnsi="宋体"/>
                <w:color w:val="000000"/>
                <w:kern w:val="58"/>
              </w:rPr>
            </w:pPr>
            <w:r>
              <w:rPr>
                <w:rFonts w:hAnsi="宋体"/>
                <w:color w:val="000000"/>
                <w:kern w:val="58"/>
              </w:rPr>
              <w:t>220V±15%</w:t>
            </w:r>
            <w:r>
              <w:rPr>
                <w:rFonts w:hint="eastAsia" w:hAnsi="宋体"/>
                <w:color w:val="000000"/>
                <w:kern w:val="58"/>
              </w:rPr>
              <w:t>，</w:t>
            </w:r>
            <w:r>
              <w:rPr>
                <w:rFonts w:hAnsi="宋体"/>
                <w:color w:val="000000"/>
                <w:kern w:val="58"/>
              </w:rPr>
              <w:t>50Hz±3%</w:t>
            </w:r>
            <w:r>
              <w:rPr>
                <w:rFonts w:hint="eastAsia" w:hAnsi="宋体"/>
                <w:color w:val="000000"/>
                <w:kern w:val="58"/>
              </w:rPr>
              <w:t>；</w:t>
            </w:r>
          </w:p>
        </w:tc>
      </w:tr>
    </w:tbl>
    <w:p>
      <w:pPr>
        <w:pStyle w:val="7"/>
        <w:spacing w:line="360" w:lineRule="auto"/>
        <w:ind w:firstLine="422" w:firstLineChars="200"/>
        <w:rPr>
          <w:rFonts w:hAnsi="宋体"/>
          <w:b/>
          <w:color w:val="000000"/>
          <w:kern w:val="58"/>
        </w:rPr>
      </w:pPr>
      <w:r>
        <w:rPr>
          <w:rFonts w:hint="eastAsia" w:hAnsi="宋体"/>
          <w:b/>
          <w:color w:val="000000"/>
          <w:kern w:val="58"/>
        </w:rPr>
        <w:t>气候条件：</w:t>
      </w:r>
    </w:p>
    <w:tbl>
      <w:tblPr>
        <w:tblStyle w:val="17"/>
        <w:tblW w:w="8364" w:type="dxa"/>
        <w:tblInd w:w="-34" w:type="dxa"/>
        <w:tblLayout w:type="fixed"/>
        <w:tblCellMar>
          <w:top w:w="0" w:type="dxa"/>
          <w:left w:w="108" w:type="dxa"/>
          <w:bottom w:w="0" w:type="dxa"/>
          <w:right w:w="108" w:type="dxa"/>
        </w:tblCellMar>
      </w:tblPr>
      <w:tblGrid>
        <w:gridCol w:w="2836"/>
        <w:gridCol w:w="5528"/>
      </w:tblGrid>
      <w:tr>
        <w:tblPrEx>
          <w:tblLayout w:type="fixed"/>
          <w:tblCellMar>
            <w:top w:w="0" w:type="dxa"/>
            <w:left w:w="108" w:type="dxa"/>
            <w:bottom w:w="0" w:type="dxa"/>
            <w:right w:w="108" w:type="dxa"/>
          </w:tblCellMar>
        </w:tblPrEx>
        <w:trPr>
          <w:trHeight w:val="285" w:hRule="atLeast"/>
        </w:trPr>
        <w:tc>
          <w:tcPr>
            <w:tcW w:w="2836" w:type="dxa"/>
            <w:vAlign w:val="center"/>
          </w:tcPr>
          <w:p>
            <w:pPr>
              <w:pStyle w:val="7"/>
              <w:spacing w:line="360" w:lineRule="auto"/>
              <w:ind w:firstLineChars="200"/>
              <w:rPr>
                <w:rFonts w:hAnsi="宋体"/>
                <w:color w:val="000000"/>
                <w:kern w:val="58"/>
              </w:rPr>
            </w:pPr>
            <w:r>
              <w:rPr>
                <w:rFonts w:hint="eastAsia" w:hAnsi="宋体"/>
                <w:color w:val="000000"/>
                <w:kern w:val="58"/>
              </w:rPr>
              <w:t>工作温度</w:t>
            </w:r>
          </w:p>
        </w:tc>
        <w:tc>
          <w:tcPr>
            <w:tcW w:w="5528" w:type="dxa"/>
            <w:vAlign w:val="center"/>
          </w:tcPr>
          <w:p>
            <w:pPr>
              <w:pStyle w:val="7"/>
              <w:spacing w:line="360" w:lineRule="auto"/>
              <w:ind w:firstLineChars="200"/>
              <w:rPr>
                <w:rFonts w:hAnsi="宋体"/>
                <w:color w:val="000000"/>
                <w:kern w:val="58"/>
              </w:rPr>
            </w:pPr>
            <w:r>
              <w:rPr>
                <w:rFonts w:hAnsi="宋体"/>
                <w:color w:val="000000"/>
                <w:kern w:val="58"/>
              </w:rPr>
              <w:t>-11.1</w:t>
            </w:r>
            <w:r>
              <w:rPr>
                <w:rFonts w:hint="eastAsia" w:hAnsi="宋体"/>
                <w:color w:val="000000"/>
                <w:kern w:val="58"/>
              </w:rPr>
              <w:t>～</w:t>
            </w:r>
            <w:r>
              <w:rPr>
                <w:rFonts w:hAnsi="宋体"/>
                <w:color w:val="000000"/>
                <w:kern w:val="58"/>
              </w:rPr>
              <w:t>41.2</w:t>
            </w:r>
            <w:r>
              <w:rPr>
                <w:rFonts w:hint="eastAsia" w:hAnsi="宋体"/>
                <w:color w:val="000000"/>
                <w:kern w:val="58"/>
              </w:rPr>
              <w:t>℃；</w:t>
            </w:r>
          </w:p>
        </w:tc>
      </w:tr>
      <w:tr>
        <w:tblPrEx>
          <w:tblLayout w:type="fixed"/>
          <w:tblCellMar>
            <w:top w:w="0" w:type="dxa"/>
            <w:left w:w="108" w:type="dxa"/>
            <w:bottom w:w="0" w:type="dxa"/>
            <w:right w:w="108" w:type="dxa"/>
          </w:tblCellMar>
        </w:tblPrEx>
        <w:trPr>
          <w:trHeight w:val="285" w:hRule="atLeast"/>
        </w:trPr>
        <w:tc>
          <w:tcPr>
            <w:tcW w:w="2836" w:type="dxa"/>
            <w:vAlign w:val="center"/>
          </w:tcPr>
          <w:p>
            <w:pPr>
              <w:pStyle w:val="7"/>
              <w:spacing w:line="360" w:lineRule="auto"/>
              <w:ind w:firstLineChars="200"/>
              <w:rPr>
                <w:rFonts w:hAnsi="宋体"/>
                <w:color w:val="000000"/>
                <w:kern w:val="58"/>
              </w:rPr>
            </w:pPr>
            <w:r>
              <w:rPr>
                <w:rFonts w:hint="eastAsia" w:hAnsi="宋体"/>
                <w:color w:val="000000"/>
                <w:kern w:val="58"/>
              </w:rPr>
              <w:t>年平均气温</w:t>
            </w:r>
          </w:p>
        </w:tc>
        <w:tc>
          <w:tcPr>
            <w:tcW w:w="5528" w:type="dxa"/>
            <w:vAlign w:val="center"/>
          </w:tcPr>
          <w:p>
            <w:pPr>
              <w:pStyle w:val="7"/>
              <w:spacing w:line="360" w:lineRule="auto"/>
              <w:ind w:firstLineChars="200"/>
              <w:rPr>
                <w:rFonts w:hAnsi="宋体"/>
                <w:color w:val="000000"/>
                <w:kern w:val="58"/>
              </w:rPr>
            </w:pPr>
            <w:r>
              <w:rPr>
                <w:rFonts w:hAnsi="宋体"/>
                <w:color w:val="000000"/>
                <w:kern w:val="58"/>
              </w:rPr>
              <w:t>16.2</w:t>
            </w:r>
            <w:r>
              <w:rPr>
                <w:rFonts w:hint="eastAsia" w:hAnsi="宋体"/>
                <w:color w:val="000000"/>
                <w:kern w:val="58"/>
              </w:rPr>
              <w:t>℃；</w:t>
            </w:r>
          </w:p>
        </w:tc>
      </w:tr>
      <w:tr>
        <w:tblPrEx>
          <w:tblLayout w:type="fixed"/>
          <w:tblCellMar>
            <w:top w:w="0" w:type="dxa"/>
            <w:left w:w="108" w:type="dxa"/>
            <w:bottom w:w="0" w:type="dxa"/>
            <w:right w:w="108" w:type="dxa"/>
          </w:tblCellMar>
        </w:tblPrEx>
        <w:trPr>
          <w:trHeight w:val="285" w:hRule="atLeast"/>
        </w:trPr>
        <w:tc>
          <w:tcPr>
            <w:tcW w:w="2836" w:type="dxa"/>
            <w:vAlign w:val="center"/>
          </w:tcPr>
          <w:p>
            <w:pPr>
              <w:pStyle w:val="7"/>
              <w:spacing w:line="360" w:lineRule="auto"/>
              <w:ind w:firstLineChars="200"/>
              <w:rPr>
                <w:rFonts w:hAnsi="宋体"/>
                <w:color w:val="000000"/>
                <w:kern w:val="58"/>
              </w:rPr>
            </w:pPr>
            <w:r>
              <w:rPr>
                <w:rFonts w:hint="eastAsia" w:hAnsi="宋体"/>
                <w:color w:val="000000"/>
                <w:kern w:val="58"/>
              </w:rPr>
              <w:t>年平均相对湿度</w:t>
            </w:r>
          </w:p>
        </w:tc>
        <w:tc>
          <w:tcPr>
            <w:tcW w:w="5528" w:type="dxa"/>
            <w:vAlign w:val="center"/>
          </w:tcPr>
          <w:p>
            <w:pPr>
              <w:pStyle w:val="7"/>
              <w:spacing w:line="360" w:lineRule="auto"/>
              <w:ind w:firstLineChars="200"/>
              <w:rPr>
                <w:rFonts w:hAnsi="宋体"/>
                <w:color w:val="000000"/>
                <w:kern w:val="58"/>
              </w:rPr>
            </w:pPr>
            <w:r>
              <w:rPr>
                <w:rFonts w:hAnsi="宋体"/>
                <w:color w:val="000000"/>
                <w:kern w:val="58"/>
              </w:rPr>
              <w:t>81%</w:t>
            </w:r>
            <w:r>
              <w:rPr>
                <w:rFonts w:hint="eastAsia" w:hAnsi="宋体"/>
                <w:color w:val="000000"/>
                <w:kern w:val="58"/>
              </w:rPr>
              <w:t>；</w:t>
            </w:r>
          </w:p>
        </w:tc>
      </w:tr>
      <w:tr>
        <w:tblPrEx>
          <w:tblLayout w:type="fixed"/>
          <w:tblCellMar>
            <w:top w:w="0" w:type="dxa"/>
            <w:left w:w="108" w:type="dxa"/>
            <w:bottom w:w="0" w:type="dxa"/>
            <w:right w:w="108" w:type="dxa"/>
          </w:tblCellMar>
        </w:tblPrEx>
        <w:trPr>
          <w:trHeight w:val="285" w:hRule="atLeast"/>
        </w:trPr>
        <w:tc>
          <w:tcPr>
            <w:tcW w:w="2836" w:type="dxa"/>
            <w:vAlign w:val="center"/>
          </w:tcPr>
          <w:p>
            <w:pPr>
              <w:pStyle w:val="7"/>
              <w:spacing w:line="360" w:lineRule="auto"/>
              <w:ind w:firstLineChars="200"/>
              <w:rPr>
                <w:rFonts w:hAnsi="宋体"/>
                <w:color w:val="000000"/>
                <w:kern w:val="58"/>
              </w:rPr>
            </w:pPr>
            <w:r>
              <w:rPr>
                <w:rFonts w:hint="eastAsia" w:hAnsi="宋体"/>
                <w:color w:val="000000"/>
                <w:kern w:val="58"/>
              </w:rPr>
              <w:t>最大降水量</w:t>
            </w:r>
          </w:p>
        </w:tc>
        <w:tc>
          <w:tcPr>
            <w:tcW w:w="5528" w:type="dxa"/>
            <w:vAlign w:val="center"/>
          </w:tcPr>
          <w:p>
            <w:pPr>
              <w:pStyle w:val="7"/>
              <w:spacing w:line="360" w:lineRule="auto"/>
              <w:ind w:firstLineChars="200"/>
              <w:rPr>
                <w:rFonts w:hAnsi="宋体"/>
                <w:color w:val="000000"/>
                <w:kern w:val="58"/>
              </w:rPr>
            </w:pPr>
            <w:r>
              <w:rPr>
                <w:rFonts w:hAnsi="宋体"/>
                <w:color w:val="000000"/>
                <w:kern w:val="58"/>
              </w:rPr>
              <w:t>1900mm</w:t>
            </w:r>
            <w:r>
              <w:rPr>
                <w:rFonts w:hint="eastAsia" w:hAnsi="宋体"/>
                <w:color w:val="000000"/>
                <w:kern w:val="58"/>
              </w:rPr>
              <w:t>；</w:t>
            </w:r>
          </w:p>
        </w:tc>
      </w:tr>
      <w:tr>
        <w:tblPrEx>
          <w:tblLayout w:type="fixed"/>
          <w:tblCellMar>
            <w:top w:w="0" w:type="dxa"/>
            <w:left w:w="108" w:type="dxa"/>
            <w:bottom w:w="0" w:type="dxa"/>
            <w:right w:w="108" w:type="dxa"/>
          </w:tblCellMar>
        </w:tblPrEx>
        <w:trPr>
          <w:trHeight w:val="285" w:hRule="atLeast"/>
        </w:trPr>
        <w:tc>
          <w:tcPr>
            <w:tcW w:w="2836" w:type="dxa"/>
            <w:vAlign w:val="center"/>
          </w:tcPr>
          <w:p>
            <w:pPr>
              <w:pStyle w:val="7"/>
              <w:spacing w:line="360" w:lineRule="auto"/>
              <w:ind w:firstLineChars="200"/>
              <w:rPr>
                <w:rFonts w:hAnsi="宋体"/>
                <w:color w:val="000000"/>
                <w:kern w:val="58"/>
              </w:rPr>
            </w:pPr>
            <w:r>
              <w:rPr>
                <w:rFonts w:hint="eastAsia" w:hAnsi="宋体"/>
                <w:color w:val="000000"/>
                <w:kern w:val="58"/>
              </w:rPr>
              <w:t>年平均降雨量</w:t>
            </w:r>
          </w:p>
        </w:tc>
        <w:tc>
          <w:tcPr>
            <w:tcW w:w="5528" w:type="dxa"/>
            <w:vAlign w:val="center"/>
          </w:tcPr>
          <w:p>
            <w:pPr>
              <w:pStyle w:val="7"/>
              <w:spacing w:line="360" w:lineRule="auto"/>
              <w:ind w:firstLineChars="200"/>
              <w:rPr>
                <w:rFonts w:hAnsi="宋体"/>
                <w:color w:val="000000"/>
                <w:kern w:val="58"/>
              </w:rPr>
            </w:pPr>
            <w:r>
              <w:rPr>
                <w:rFonts w:hAnsi="宋体"/>
                <w:color w:val="000000"/>
                <w:kern w:val="58"/>
              </w:rPr>
              <w:t>1700mm</w:t>
            </w:r>
            <w:r>
              <w:rPr>
                <w:rFonts w:hint="eastAsia" w:hAnsi="宋体"/>
                <w:color w:val="000000"/>
                <w:kern w:val="58"/>
              </w:rPr>
              <w:t>；</w:t>
            </w:r>
          </w:p>
        </w:tc>
      </w:tr>
      <w:tr>
        <w:tblPrEx>
          <w:tblLayout w:type="fixed"/>
          <w:tblCellMar>
            <w:top w:w="0" w:type="dxa"/>
            <w:left w:w="108" w:type="dxa"/>
            <w:bottom w:w="0" w:type="dxa"/>
            <w:right w:w="108" w:type="dxa"/>
          </w:tblCellMar>
        </w:tblPrEx>
        <w:trPr>
          <w:trHeight w:val="285" w:hRule="atLeast"/>
        </w:trPr>
        <w:tc>
          <w:tcPr>
            <w:tcW w:w="2836" w:type="dxa"/>
            <w:vAlign w:val="center"/>
          </w:tcPr>
          <w:p>
            <w:pPr>
              <w:pStyle w:val="7"/>
              <w:spacing w:line="360" w:lineRule="auto"/>
              <w:ind w:firstLineChars="200"/>
              <w:rPr>
                <w:rFonts w:hAnsi="宋体"/>
                <w:color w:val="000000"/>
                <w:kern w:val="58"/>
              </w:rPr>
            </w:pPr>
            <w:r>
              <w:rPr>
                <w:rFonts w:hint="eastAsia" w:hAnsi="宋体"/>
                <w:color w:val="000000"/>
                <w:kern w:val="58"/>
              </w:rPr>
              <w:t>年平均降雨天数</w:t>
            </w:r>
          </w:p>
        </w:tc>
        <w:tc>
          <w:tcPr>
            <w:tcW w:w="5528" w:type="dxa"/>
            <w:vAlign w:val="center"/>
          </w:tcPr>
          <w:p>
            <w:pPr>
              <w:pStyle w:val="7"/>
              <w:spacing w:line="360" w:lineRule="auto"/>
              <w:ind w:firstLineChars="200"/>
              <w:rPr>
                <w:rFonts w:hAnsi="宋体"/>
                <w:color w:val="000000"/>
                <w:kern w:val="58"/>
              </w:rPr>
            </w:pPr>
            <w:r>
              <w:rPr>
                <w:rFonts w:hAnsi="宋体"/>
                <w:color w:val="000000"/>
                <w:kern w:val="58"/>
              </w:rPr>
              <w:t>159</w:t>
            </w:r>
            <w:r>
              <w:rPr>
                <w:rFonts w:hint="eastAsia" w:hAnsi="宋体"/>
                <w:color w:val="000000"/>
                <w:kern w:val="58"/>
              </w:rPr>
              <w:t>天；</w:t>
            </w:r>
          </w:p>
        </w:tc>
      </w:tr>
      <w:tr>
        <w:tblPrEx>
          <w:tblLayout w:type="fixed"/>
          <w:tblCellMar>
            <w:top w:w="0" w:type="dxa"/>
            <w:left w:w="108" w:type="dxa"/>
            <w:bottom w:w="0" w:type="dxa"/>
            <w:right w:w="108" w:type="dxa"/>
          </w:tblCellMar>
        </w:tblPrEx>
        <w:trPr>
          <w:trHeight w:val="285" w:hRule="atLeast"/>
        </w:trPr>
        <w:tc>
          <w:tcPr>
            <w:tcW w:w="2836" w:type="dxa"/>
            <w:vAlign w:val="center"/>
          </w:tcPr>
          <w:p>
            <w:pPr>
              <w:pStyle w:val="7"/>
              <w:spacing w:line="360" w:lineRule="auto"/>
              <w:ind w:firstLineChars="200"/>
              <w:rPr>
                <w:rFonts w:hAnsi="宋体"/>
                <w:color w:val="000000"/>
                <w:kern w:val="58"/>
              </w:rPr>
            </w:pPr>
            <w:r>
              <w:rPr>
                <w:rFonts w:hint="eastAsia" w:hAnsi="宋体"/>
                <w:color w:val="000000"/>
                <w:kern w:val="58"/>
              </w:rPr>
              <w:t>平均年日照</w:t>
            </w:r>
          </w:p>
        </w:tc>
        <w:tc>
          <w:tcPr>
            <w:tcW w:w="5528" w:type="dxa"/>
            <w:vAlign w:val="center"/>
          </w:tcPr>
          <w:p>
            <w:pPr>
              <w:pStyle w:val="7"/>
              <w:spacing w:line="360" w:lineRule="auto"/>
              <w:ind w:firstLineChars="200"/>
              <w:rPr>
                <w:rFonts w:hAnsi="宋体"/>
                <w:color w:val="000000"/>
                <w:kern w:val="58"/>
              </w:rPr>
            </w:pPr>
            <w:r>
              <w:rPr>
                <w:rFonts w:hAnsi="宋体"/>
                <w:color w:val="000000"/>
                <w:kern w:val="58"/>
              </w:rPr>
              <w:t>1928h</w:t>
            </w:r>
            <w:r>
              <w:rPr>
                <w:rFonts w:hint="eastAsia" w:hAnsi="宋体"/>
                <w:color w:val="000000"/>
                <w:kern w:val="58"/>
              </w:rPr>
              <w:t>；</w:t>
            </w:r>
          </w:p>
        </w:tc>
      </w:tr>
      <w:tr>
        <w:tblPrEx>
          <w:tblLayout w:type="fixed"/>
          <w:tblCellMar>
            <w:top w:w="0" w:type="dxa"/>
            <w:left w:w="108" w:type="dxa"/>
            <w:bottom w:w="0" w:type="dxa"/>
            <w:right w:w="108" w:type="dxa"/>
          </w:tblCellMar>
        </w:tblPrEx>
        <w:trPr>
          <w:trHeight w:val="285" w:hRule="atLeast"/>
        </w:trPr>
        <w:tc>
          <w:tcPr>
            <w:tcW w:w="2836" w:type="dxa"/>
            <w:vAlign w:val="center"/>
          </w:tcPr>
          <w:p>
            <w:pPr>
              <w:pStyle w:val="7"/>
              <w:spacing w:line="360" w:lineRule="auto"/>
              <w:ind w:firstLineChars="200"/>
              <w:rPr>
                <w:rFonts w:hAnsi="宋体"/>
                <w:color w:val="000000"/>
                <w:kern w:val="58"/>
              </w:rPr>
            </w:pPr>
            <w:r>
              <w:rPr>
                <w:rFonts w:hint="eastAsia" w:hAnsi="宋体"/>
                <w:color w:val="000000"/>
                <w:kern w:val="58"/>
              </w:rPr>
              <w:t>极大风速</w:t>
            </w:r>
          </w:p>
        </w:tc>
        <w:tc>
          <w:tcPr>
            <w:tcW w:w="5528" w:type="dxa"/>
            <w:vAlign w:val="center"/>
          </w:tcPr>
          <w:p>
            <w:pPr>
              <w:pStyle w:val="7"/>
              <w:spacing w:line="360" w:lineRule="auto"/>
              <w:ind w:firstLineChars="200"/>
              <w:rPr>
                <w:rFonts w:hAnsi="宋体"/>
                <w:color w:val="000000"/>
                <w:kern w:val="58"/>
              </w:rPr>
            </w:pPr>
            <w:r>
              <w:rPr>
                <w:rFonts w:hAnsi="宋体"/>
                <w:color w:val="000000"/>
                <w:kern w:val="58"/>
              </w:rPr>
              <w:t>52.3m/s</w:t>
            </w:r>
            <w:r>
              <w:rPr>
                <w:rFonts w:hint="eastAsia" w:hAnsi="宋体"/>
                <w:color w:val="000000"/>
                <w:kern w:val="58"/>
              </w:rPr>
              <w:t>；</w:t>
            </w:r>
          </w:p>
        </w:tc>
      </w:tr>
      <w:tr>
        <w:tblPrEx>
          <w:tblLayout w:type="fixed"/>
          <w:tblCellMar>
            <w:top w:w="0" w:type="dxa"/>
            <w:left w:w="108" w:type="dxa"/>
            <w:bottom w:w="0" w:type="dxa"/>
            <w:right w:w="108" w:type="dxa"/>
          </w:tblCellMar>
        </w:tblPrEx>
        <w:trPr>
          <w:trHeight w:val="285" w:hRule="atLeast"/>
        </w:trPr>
        <w:tc>
          <w:tcPr>
            <w:tcW w:w="2836" w:type="dxa"/>
            <w:vAlign w:val="center"/>
          </w:tcPr>
          <w:p>
            <w:pPr>
              <w:pStyle w:val="7"/>
              <w:spacing w:line="360" w:lineRule="auto"/>
              <w:ind w:firstLineChars="200"/>
              <w:rPr>
                <w:rFonts w:hAnsi="宋体"/>
                <w:color w:val="000000"/>
                <w:kern w:val="58"/>
              </w:rPr>
            </w:pPr>
            <w:r>
              <w:rPr>
                <w:rFonts w:hint="eastAsia" w:hAnsi="宋体"/>
                <w:color w:val="000000"/>
                <w:kern w:val="58"/>
              </w:rPr>
              <w:t>最大风速</w:t>
            </w:r>
          </w:p>
        </w:tc>
        <w:tc>
          <w:tcPr>
            <w:tcW w:w="5528" w:type="dxa"/>
            <w:vAlign w:val="center"/>
          </w:tcPr>
          <w:p>
            <w:pPr>
              <w:pStyle w:val="7"/>
              <w:spacing w:line="360" w:lineRule="auto"/>
              <w:ind w:firstLineChars="200"/>
              <w:rPr>
                <w:rFonts w:hAnsi="宋体"/>
                <w:color w:val="000000"/>
                <w:kern w:val="58"/>
              </w:rPr>
            </w:pPr>
            <w:r>
              <w:rPr>
                <w:rFonts w:hAnsi="宋体"/>
                <w:color w:val="000000"/>
                <w:kern w:val="58"/>
              </w:rPr>
              <w:t>34.3m/s</w:t>
            </w:r>
            <w:r>
              <w:rPr>
                <w:rFonts w:hint="eastAsia" w:hAnsi="宋体"/>
                <w:color w:val="000000"/>
                <w:kern w:val="58"/>
              </w:rPr>
              <w:t>；</w:t>
            </w:r>
          </w:p>
        </w:tc>
      </w:tr>
      <w:tr>
        <w:tblPrEx>
          <w:tblLayout w:type="fixed"/>
          <w:tblCellMar>
            <w:top w:w="0" w:type="dxa"/>
            <w:left w:w="108" w:type="dxa"/>
            <w:bottom w:w="0" w:type="dxa"/>
            <w:right w:w="108" w:type="dxa"/>
          </w:tblCellMar>
        </w:tblPrEx>
        <w:trPr>
          <w:trHeight w:val="285" w:hRule="atLeast"/>
        </w:trPr>
        <w:tc>
          <w:tcPr>
            <w:tcW w:w="2836" w:type="dxa"/>
            <w:vAlign w:val="center"/>
          </w:tcPr>
          <w:p>
            <w:pPr>
              <w:pStyle w:val="7"/>
              <w:spacing w:line="360" w:lineRule="auto"/>
              <w:ind w:firstLineChars="200"/>
              <w:rPr>
                <w:rFonts w:hAnsi="宋体"/>
                <w:color w:val="000000"/>
                <w:kern w:val="58"/>
              </w:rPr>
            </w:pPr>
            <w:r>
              <w:rPr>
                <w:rFonts w:hint="eastAsia" w:hAnsi="宋体"/>
                <w:color w:val="000000"/>
                <w:kern w:val="58"/>
              </w:rPr>
              <w:t>年平均风速</w:t>
            </w:r>
          </w:p>
        </w:tc>
        <w:tc>
          <w:tcPr>
            <w:tcW w:w="5528" w:type="dxa"/>
            <w:vAlign w:val="center"/>
          </w:tcPr>
          <w:p>
            <w:pPr>
              <w:pStyle w:val="7"/>
              <w:spacing w:line="360" w:lineRule="auto"/>
              <w:ind w:firstLineChars="200"/>
              <w:rPr>
                <w:rFonts w:hAnsi="宋体"/>
                <w:color w:val="000000"/>
                <w:kern w:val="58"/>
              </w:rPr>
            </w:pPr>
            <w:r>
              <w:rPr>
                <w:rFonts w:hAnsi="宋体"/>
                <w:color w:val="000000"/>
                <w:kern w:val="58"/>
              </w:rPr>
              <w:t>5.6m/s</w:t>
            </w:r>
            <w:r>
              <w:rPr>
                <w:rFonts w:hint="eastAsia" w:hAnsi="宋体"/>
                <w:color w:val="000000"/>
                <w:kern w:val="58"/>
              </w:rPr>
              <w:t>；</w:t>
            </w:r>
          </w:p>
        </w:tc>
      </w:tr>
      <w:tr>
        <w:tblPrEx>
          <w:tblLayout w:type="fixed"/>
          <w:tblCellMar>
            <w:top w:w="0" w:type="dxa"/>
            <w:left w:w="108" w:type="dxa"/>
            <w:bottom w:w="0" w:type="dxa"/>
            <w:right w:w="108" w:type="dxa"/>
          </w:tblCellMar>
        </w:tblPrEx>
        <w:trPr>
          <w:trHeight w:val="285" w:hRule="atLeast"/>
        </w:trPr>
        <w:tc>
          <w:tcPr>
            <w:tcW w:w="2836" w:type="dxa"/>
            <w:vAlign w:val="center"/>
          </w:tcPr>
          <w:p>
            <w:pPr>
              <w:pStyle w:val="7"/>
              <w:spacing w:line="360" w:lineRule="auto"/>
              <w:ind w:firstLineChars="200"/>
              <w:rPr>
                <w:rFonts w:hAnsi="宋体"/>
                <w:color w:val="000000"/>
                <w:kern w:val="58"/>
              </w:rPr>
            </w:pPr>
            <w:r>
              <w:rPr>
                <w:rFonts w:hint="eastAsia" w:hAnsi="宋体"/>
                <w:color w:val="000000"/>
                <w:kern w:val="58"/>
              </w:rPr>
              <w:t>海拔高度</w:t>
            </w:r>
          </w:p>
        </w:tc>
        <w:tc>
          <w:tcPr>
            <w:tcW w:w="5528" w:type="dxa"/>
            <w:vAlign w:val="center"/>
          </w:tcPr>
          <w:p>
            <w:pPr>
              <w:pStyle w:val="7"/>
              <w:spacing w:line="360" w:lineRule="auto"/>
              <w:ind w:firstLineChars="200"/>
              <w:rPr>
                <w:rFonts w:hAnsi="宋体"/>
                <w:color w:val="000000"/>
                <w:kern w:val="58"/>
              </w:rPr>
            </w:pPr>
            <w:r>
              <w:rPr>
                <w:rFonts w:hint="eastAsia" w:hAnsi="宋体"/>
                <w:color w:val="000000"/>
                <w:kern w:val="58"/>
              </w:rPr>
              <w:t>﹤</w:t>
            </w:r>
            <w:r>
              <w:rPr>
                <w:rFonts w:hAnsi="宋体"/>
                <w:color w:val="000000"/>
                <w:kern w:val="58"/>
              </w:rPr>
              <w:t>1200m</w:t>
            </w:r>
            <w:r>
              <w:rPr>
                <w:rFonts w:hint="eastAsia" w:hAnsi="宋体"/>
                <w:color w:val="000000"/>
                <w:kern w:val="58"/>
              </w:rPr>
              <w:t>；</w:t>
            </w:r>
          </w:p>
        </w:tc>
      </w:tr>
      <w:tr>
        <w:tblPrEx>
          <w:tblLayout w:type="fixed"/>
          <w:tblCellMar>
            <w:top w:w="0" w:type="dxa"/>
            <w:left w:w="108" w:type="dxa"/>
            <w:bottom w:w="0" w:type="dxa"/>
            <w:right w:w="108" w:type="dxa"/>
          </w:tblCellMar>
        </w:tblPrEx>
        <w:trPr>
          <w:trHeight w:val="285" w:hRule="atLeast"/>
        </w:trPr>
        <w:tc>
          <w:tcPr>
            <w:tcW w:w="2836" w:type="dxa"/>
            <w:vAlign w:val="center"/>
          </w:tcPr>
          <w:p>
            <w:pPr>
              <w:pStyle w:val="7"/>
              <w:spacing w:line="360" w:lineRule="auto"/>
              <w:ind w:firstLineChars="200"/>
              <w:rPr>
                <w:rFonts w:hAnsi="宋体"/>
                <w:color w:val="000000"/>
                <w:kern w:val="58"/>
              </w:rPr>
            </w:pPr>
            <w:r>
              <w:rPr>
                <w:rFonts w:hint="eastAsia" w:hAnsi="宋体"/>
                <w:color w:val="000000"/>
                <w:kern w:val="58"/>
              </w:rPr>
              <w:t>全年平均蒸发量</w:t>
            </w:r>
          </w:p>
        </w:tc>
        <w:tc>
          <w:tcPr>
            <w:tcW w:w="5528" w:type="dxa"/>
            <w:vAlign w:val="center"/>
          </w:tcPr>
          <w:p>
            <w:pPr>
              <w:pStyle w:val="7"/>
              <w:spacing w:line="360" w:lineRule="auto"/>
              <w:ind w:firstLineChars="200"/>
              <w:rPr>
                <w:rFonts w:hAnsi="宋体"/>
                <w:color w:val="000000"/>
                <w:kern w:val="58"/>
              </w:rPr>
            </w:pPr>
            <w:r>
              <w:rPr>
                <w:rFonts w:hAnsi="宋体"/>
                <w:color w:val="000000"/>
                <w:kern w:val="58"/>
              </w:rPr>
              <w:t>1458.4mm</w:t>
            </w:r>
            <w:r>
              <w:rPr>
                <w:rFonts w:hint="eastAsia" w:hAnsi="宋体"/>
                <w:color w:val="000000"/>
                <w:kern w:val="58"/>
              </w:rPr>
              <w:t>。</w:t>
            </w:r>
          </w:p>
        </w:tc>
      </w:tr>
    </w:tbl>
    <w:p>
      <w:pPr>
        <w:ind w:firstLine="482" w:firstLineChars="200"/>
        <w:rPr>
          <w:rFonts w:ascii="宋体" w:hAnsi="宋体"/>
          <w:b/>
          <w:bCs/>
        </w:rPr>
      </w:pPr>
      <w:bookmarkStart w:id="6" w:name="_Toc463008962"/>
      <w:bookmarkStart w:id="7" w:name="_Toc463607313"/>
      <w:bookmarkStart w:id="8" w:name="_Toc465871338"/>
      <w:bookmarkStart w:id="9" w:name="_Toc463879622"/>
      <w:bookmarkStart w:id="10" w:name="_Toc464825136"/>
      <w:bookmarkStart w:id="11" w:name="_Toc19539"/>
      <w:bookmarkStart w:id="12" w:name="_Toc466650419"/>
      <w:bookmarkStart w:id="13" w:name="_Toc17212"/>
      <w:bookmarkStart w:id="14" w:name="_Toc466650974"/>
      <w:r>
        <w:rPr>
          <w:rFonts w:hint="eastAsia" w:ascii="宋体" w:hAnsi="宋体"/>
          <w:b/>
          <w:bCs/>
        </w:rPr>
        <w:t>四、</w:t>
      </w:r>
      <w:bookmarkEnd w:id="6"/>
      <w:bookmarkEnd w:id="7"/>
      <w:bookmarkEnd w:id="8"/>
      <w:bookmarkEnd w:id="9"/>
      <w:bookmarkEnd w:id="10"/>
      <w:r>
        <w:rPr>
          <w:rFonts w:hint="eastAsia" w:ascii="宋体" w:hAnsi="宋体"/>
          <w:b/>
          <w:bCs/>
        </w:rPr>
        <w:t>技术要求</w:t>
      </w:r>
    </w:p>
    <w:p>
      <w:pPr>
        <w:ind w:firstLine="482" w:firstLineChars="200"/>
        <w:rPr>
          <w:rFonts w:ascii="宋体" w:hAnsi="宋体"/>
          <w:b/>
          <w:bCs/>
        </w:rPr>
      </w:pPr>
      <w:bookmarkStart w:id="15" w:name="_Toc24826"/>
      <w:r>
        <w:rPr>
          <w:rFonts w:ascii="宋体" w:hAnsi="宋体"/>
          <w:b/>
          <w:bCs/>
        </w:rPr>
        <w:t>4.1</w:t>
      </w:r>
      <w:r>
        <w:rPr>
          <w:rFonts w:hint="eastAsia" w:ascii="宋体" w:hAnsi="宋体"/>
          <w:b/>
          <w:bCs/>
        </w:rPr>
        <w:t>采用规范和适用标准</w:t>
      </w:r>
      <w:bookmarkEnd w:id="11"/>
      <w:bookmarkEnd w:id="12"/>
      <w:bookmarkEnd w:id="13"/>
      <w:bookmarkEnd w:id="14"/>
      <w:bookmarkEnd w:id="15"/>
    </w:p>
    <w:p>
      <w:pPr>
        <w:pStyle w:val="7"/>
        <w:spacing w:line="360" w:lineRule="auto"/>
        <w:ind w:firstLineChars="200"/>
        <w:rPr>
          <w:rFonts w:hAnsi="宋体"/>
          <w:color w:val="000000"/>
          <w:kern w:val="58"/>
        </w:rPr>
      </w:pPr>
      <w:r>
        <w:rPr>
          <w:rFonts w:hint="eastAsia" w:hAnsi="宋体"/>
          <w:color w:val="000000"/>
          <w:kern w:val="58"/>
        </w:rPr>
        <w:t>比选申请人所提供的所有工装应满足国家、行业及省、市现行最新的有关规范、规程和标准，如果构成本文件的规范与国家、行业及宁波市现行最新的有关规范、规程和标准之间有相互矛盾之处或不一致之处，比选申请人应按其中要求最严格的执行。</w:t>
      </w:r>
    </w:p>
    <w:p>
      <w:pPr>
        <w:pStyle w:val="7"/>
        <w:spacing w:line="360" w:lineRule="auto"/>
        <w:ind w:firstLineChars="200"/>
        <w:rPr>
          <w:rFonts w:hAnsi="宋体"/>
          <w:color w:val="000000"/>
          <w:kern w:val="58"/>
        </w:rPr>
      </w:pPr>
      <w:r>
        <w:rPr>
          <w:rFonts w:hint="eastAsia" w:hAnsi="宋体"/>
          <w:color w:val="000000"/>
          <w:kern w:val="58"/>
        </w:rPr>
        <w:t>主要标准如下：（包括但不限于）</w:t>
      </w:r>
    </w:p>
    <w:p>
      <w:pPr>
        <w:pStyle w:val="7"/>
        <w:spacing w:line="360" w:lineRule="auto"/>
        <w:ind w:firstLineChars="200"/>
        <w:rPr>
          <w:rFonts w:hAnsi="宋体"/>
          <w:color w:val="000000"/>
          <w:kern w:val="58"/>
        </w:rPr>
      </w:pPr>
      <w:r>
        <w:rPr>
          <w:rFonts w:hint="eastAsia" w:hAnsi="宋体"/>
          <w:color w:val="000000"/>
          <w:kern w:val="58"/>
        </w:rPr>
        <w:t>GB50157</w:t>
      </w:r>
      <w:r>
        <w:rPr>
          <w:rFonts w:hint="eastAsia" w:hAnsi="宋体"/>
          <w:color w:val="000000"/>
          <w:kern w:val="58"/>
        </w:rPr>
        <w:tab/>
      </w:r>
      <w:r>
        <w:rPr>
          <w:rFonts w:hint="eastAsia" w:hAnsi="宋体"/>
          <w:color w:val="000000"/>
          <w:kern w:val="58"/>
        </w:rPr>
        <w:t xml:space="preserve">           《地铁设计规范》</w:t>
      </w:r>
    </w:p>
    <w:p>
      <w:pPr>
        <w:pStyle w:val="7"/>
        <w:spacing w:line="360" w:lineRule="auto"/>
        <w:ind w:firstLineChars="200"/>
        <w:rPr>
          <w:rFonts w:hAnsi="宋体"/>
          <w:color w:val="000000"/>
          <w:kern w:val="58"/>
        </w:rPr>
      </w:pPr>
      <w:r>
        <w:rPr>
          <w:rFonts w:hint="eastAsia" w:hAnsi="宋体"/>
          <w:color w:val="000000"/>
          <w:kern w:val="58"/>
        </w:rPr>
        <w:t xml:space="preserve">GB/T7928 </w:t>
      </w:r>
      <w:r>
        <w:rPr>
          <w:rFonts w:hint="eastAsia" w:hAnsi="宋体"/>
          <w:color w:val="000000"/>
          <w:kern w:val="58"/>
        </w:rPr>
        <w:tab/>
      </w:r>
      <w:r>
        <w:rPr>
          <w:rFonts w:hint="eastAsia" w:hAnsi="宋体"/>
          <w:color w:val="000000"/>
          <w:kern w:val="58"/>
        </w:rPr>
        <w:t xml:space="preserve">       《地铁车辆通用技术条件》</w:t>
      </w:r>
    </w:p>
    <w:p>
      <w:pPr>
        <w:pStyle w:val="7"/>
        <w:spacing w:line="360" w:lineRule="auto"/>
        <w:ind w:firstLineChars="200"/>
        <w:rPr>
          <w:rFonts w:hAnsi="宋体"/>
          <w:color w:val="000000"/>
          <w:kern w:val="58"/>
        </w:rPr>
      </w:pPr>
      <w:r>
        <w:rPr>
          <w:rFonts w:hint="eastAsia" w:hAnsi="宋体"/>
          <w:color w:val="000000"/>
          <w:kern w:val="58"/>
        </w:rPr>
        <w:t>GB1804</w:t>
      </w:r>
      <w:r>
        <w:rPr>
          <w:rFonts w:hint="eastAsia" w:hAnsi="宋体"/>
          <w:color w:val="000000"/>
          <w:kern w:val="58"/>
        </w:rPr>
        <w:tab/>
      </w:r>
      <w:r>
        <w:rPr>
          <w:rFonts w:hint="eastAsia" w:hAnsi="宋体"/>
          <w:color w:val="000000"/>
          <w:kern w:val="58"/>
        </w:rPr>
        <w:t xml:space="preserve">           《公差与配合线性尺寸的未注公差》</w:t>
      </w:r>
    </w:p>
    <w:p>
      <w:pPr>
        <w:pStyle w:val="7"/>
        <w:spacing w:line="360" w:lineRule="auto"/>
        <w:ind w:firstLineChars="200"/>
        <w:rPr>
          <w:rFonts w:hAnsi="宋体"/>
          <w:color w:val="000000"/>
          <w:kern w:val="58"/>
        </w:rPr>
      </w:pPr>
      <w:r>
        <w:rPr>
          <w:rFonts w:hint="eastAsia" w:hAnsi="宋体"/>
          <w:color w:val="000000"/>
          <w:kern w:val="58"/>
        </w:rPr>
        <w:t>GB1184</w:t>
      </w:r>
      <w:r>
        <w:rPr>
          <w:rFonts w:hint="eastAsia" w:hAnsi="宋体"/>
          <w:color w:val="000000"/>
          <w:kern w:val="58"/>
        </w:rPr>
        <w:tab/>
      </w:r>
      <w:r>
        <w:rPr>
          <w:rFonts w:hint="eastAsia" w:hAnsi="宋体"/>
          <w:color w:val="000000"/>
          <w:kern w:val="58"/>
        </w:rPr>
        <w:t xml:space="preserve">           《形状和位置公差未注公差的规定》</w:t>
      </w:r>
    </w:p>
    <w:p>
      <w:pPr>
        <w:pStyle w:val="7"/>
        <w:spacing w:line="360" w:lineRule="auto"/>
        <w:ind w:firstLineChars="200"/>
        <w:rPr>
          <w:rFonts w:hAnsi="宋体"/>
          <w:color w:val="000000"/>
          <w:kern w:val="58"/>
        </w:rPr>
      </w:pPr>
      <w:r>
        <w:rPr>
          <w:rFonts w:hint="eastAsia" w:hAnsi="宋体"/>
          <w:color w:val="000000"/>
          <w:kern w:val="58"/>
        </w:rPr>
        <w:t>GB985</w:t>
      </w:r>
      <w:r>
        <w:rPr>
          <w:rFonts w:hint="eastAsia" w:hAnsi="宋体"/>
          <w:color w:val="000000"/>
          <w:kern w:val="58"/>
        </w:rPr>
        <w:tab/>
      </w:r>
      <w:r>
        <w:rPr>
          <w:rFonts w:hint="eastAsia" w:hAnsi="宋体"/>
          <w:color w:val="000000"/>
          <w:kern w:val="58"/>
        </w:rPr>
        <w:t xml:space="preserve">           《手工电弧焊焊接接头的基本形式与尺寸》 </w:t>
      </w:r>
    </w:p>
    <w:p>
      <w:pPr>
        <w:pStyle w:val="7"/>
        <w:spacing w:line="360" w:lineRule="auto"/>
        <w:ind w:firstLineChars="200"/>
        <w:rPr>
          <w:rFonts w:hAnsi="宋体"/>
          <w:color w:val="000000"/>
          <w:kern w:val="58"/>
        </w:rPr>
      </w:pPr>
      <w:r>
        <w:rPr>
          <w:rFonts w:hint="eastAsia" w:hAnsi="宋体"/>
          <w:color w:val="000000"/>
          <w:kern w:val="58"/>
        </w:rPr>
        <w:t xml:space="preserve">Q/ZB74             《焊接通用技术条件》 </w:t>
      </w:r>
    </w:p>
    <w:p>
      <w:pPr>
        <w:pStyle w:val="7"/>
        <w:spacing w:line="360" w:lineRule="auto"/>
        <w:ind w:firstLineChars="200"/>
        <w:rPr>
          <w:rFonts w:hAnsi="宋体"/>
          <w:color w:val="000000"/>
          <w:kern w:val="58"/>
        </w:rPr>
      </w:pPr>
      <w:r>
        <w:rPr>
          <w:rFonts w:hint="eastAsia" w:hAnsi="宋体"/>
          <w:color w:val="000000"/>
          <w:kern w:val="58"/>
        </w:rPr>
        <w:t>JB/T4328.6</w:t>
      </w:r>
      <w:r>
        <w:rPr>
          <w:rFonts w:hint="eastAsia" w:hAnsi="宋体"/>
          <w:color w:val="000000"/>
          <w:kern w:val="58"/>
        </w:rPr>
        <w:tab/>
      </w:r>
      <w:r>
        <w:rPr>
          <w:rFonts w:hint="eastAsia" w:hAnsi="宋体"/>
          <w:color w:val="000000"/>
          <w:kern w:val="58"/>
        </w:rPr>
        <w:t xml:space="preserve">       《机械加工通用技术条件》</w:t>
      </w:r>
    </w:p>
    <w:p>
      <w:pPr>
        <w:pStyle w:val="7"/>
        <w:spacing w:line="360" w:lineRule="auto"/>
        <w:ind w:firstLineChars="200"/>
        <w:rPr>
          <w:rFonts w:hAnsi="宋体"/>
          <w:color w:val="000000"/>
          <w:kern w:val="58"/>
        </w:rPr>
      </w:pPr>
      <w:r>
        <w:rPr>
          <w:rFonts w:hint="eastAsia" w:hAnsi="宋体"/>
          <w:color w:val="000000"/>
          <w:kern w:val="58"/>
        </w:rPr>
        <w:t>GB/T15706</w:t>
      </w:r>
      <w:r>
        <w:rPr>
          <w:rFonts w:hint="eastAsia" w:hAnsi="宋体"/>
          <w:color w:val="000000"/>
          <w:kern w:val="58"/>
        </w:rPr>
        <w:tab/>
      </w:r>
      <w:r>
        <w:rPr>
          <w:rFonts w:hint="eastAsia" w:hAnsi="宋体"/>
          <w:color w:val="000000"/>
          <w:kern w:val="58"/>
        </w:rPr>
        <w:t xml:space="preserve">       《机械安全基本概念与设计通则》</w:t>
      </w:r>
    </w:p>
    <w:p>
      <w:pPr>
        <w:pStyle w:val="7"/>
        <w:spacing w:line="360" w:lineRule="auto"/>
        <w:ind w:firstLineChars="200"/>
        <w:rPr>
          <w:rFonts w:hAnsi="宋体"/>
          <w:color w:val="000000"/>
          <w:kern w:val="58"/>
        </w:rPr>
      </w:pPr>
      <w:r>
        <w:rPr>
          <w:rFonts w:hint="eastAsia" w:hAnsi="宋体"/>
          <w:color w:val="000000"/>
          <w:kern w:val="58"/>
        </w:rPr>
        <w:t>GB/T6807</w:t>
      </w:r>
      <w:r>
        <w:rPr>
          <w:rFonts w:hint="eastAsia" w:hAnsi="宋体"/>
          <w:color w:val="000000"/>
          <w:kern w:val="58"/>
        </w:rPr>
        <w:tab/>
      </w:r>
      <w:r>
        <w:rPr>
          <w:rFonts w:hint="eastAsia" w:hAnsi="宋体"/>
          <w:color w:val="000000"/>
          <w:kern w:val="58"/>
        </w:rPr>
        <w:t xml:space="preserve">       《钢铁工件涂装前磷化处理技术条件》</w:t>
      </w:r>
    </w:p>
    <w:p>
      <w:pPr>
        <w:pStyle w:val="7"/>
        <w:spacing w:line="360" w:lineRule="auto"/>
        <w:ind w:firstLineChars="200"/>
        <w:rPr>
          <w:rFonts w:hAnsi="宋体"/>
          <w:color w:val="000000"/>
          <w:kern w:val="58"/>
        </w:rPr>
      </w:pPr>
      <w:r>
        <w:rPr>
          <w:rFonts w:hint="eastAsia" w:hAnsi="宋体"/>
          <w:color w:val="000000"/>
          <w:kern w:val="58"/>
        </w:rPr>
        <w:t>GB191-2008</w:t>
      </w:r>
      <w:r>
        <w:rPr>
          <w:rFonts w:hint="eastAsia" w:hAnsi="宋体"/>
          <w:color w:val="000000"/>
          <w:kern w:val="58"/>
        </w:rPr>
        <w:tab/>
      </w:r>
      <w:r>
        <w:rPr>
          <w:rFonts w:hint="eastAsia" w:hAnsi="宋体"/>
          <w:color w:val="000000"/>
          <w:kern w:val="58"/>
        </w:rPr>
        <w:t xml:space="preserve">       《包装储运图示标志》</w:t>
      </w:r>
    </w:p>
    <w:p>
      <w:pPr>
        <w:pStyle w:val="7"/>
        <w:spacing w:line="360" w:lineRule="auto"/>
        <w:ind w:firstLineChars="200"/>
        <w:rPr>
          <w:rFonts w:hAnsi="宋体"/>
          <w:color w:val="000000"/>
          <w:kern w:val="58"/>
        </w:rPr>
      </w:pPr>
      <w:r>
        <w:rPr>
          <w:rFonts w:hint="eastAsia" w:hAnsi="宋体"/>
          <w:color w:val="000000"/>
          <w:kern w:val="58"/>
        </w:rPr>
        <w:t>GB/T12469-90</w:t>
      </w:r>
      <w:r>
        <w:rPr>
          <w:rFonts w:hint="eastAsia" w:hAnsi="宋体"/>
          <w:color w:val="000000"/>
          <w:kern w:val="58"/>
        </w:rPr>
        <w:tab/>
      </w:r>
      <w:r>
        <w:rPr>
          <w:rFonts w:hint="eastAsia" w:hAnsi="宋体"/>
          <w:color w:val="000000"/>
          <w:kern w:val="58"/>
        </w:rPr>
        <w:t xml:space="preserve">   《焊接质量保证》</w:t>
      </w:r>
    </w:p>
    <w:p>
      <w:pPr>
        <w:pStyle w:val="7"/>
        <w:spacing w:line="360" w:lineRule="auto"/>
        <w:ind w:firstLineChars="200"/>
        <w:rPr>
          <w:rFonts w:hAnsi="宋体"/>
          <w:color w:val="000000"/>
          <w:kern w:val="58"/>
        </w:rPr>
      </w:pPr>
      <w:r>
        <w:rPr>
          <w:rFonts w:hint="eastAsia" w:hAnsi="宋体"/>
          <w:color w:val="000000"/>
          <w:kern w:val="58"/>
        </w:rPr>
        <w:t>GB/T 700</w:t>
      </w:r>
      <w:r>
        <w:rPr>
          <w:rFonts w:hint="eastAsia" w:hAnsi="宋体"/>
          <w:color w:val="000000"/>
          <w:kern w:val="58"/>
        </w:rPr>
        <w:tab/>
      </w:r>
      <w:r>
        <w:rPr>
          <w:rFonts w:hint="eastAsia" w:hAnsi="宋体"/>
          <w:color w:val="000000"/>
          <w:kern w:val="58"/>
        </w:rPr>
        <w:t xml:space="preserve">       《碳素结构钢》</w:t>
      </w:r>
    </w:p>
    <w:p>
      <w:pPr>
        <w:pStyle w:val="7"/>
        <w:spacing w:line="360" w:lineRule="auto"/>
        <w:ind w:firstLineChars="200"/>
        <w:rPr>
          <w:rFonts w:hAnsi="宋体"/>
          <w:color w:val="000000"/>
          <w:kern w:val="58"/>
        </w:rPr>
      </w:pPr>
      <w:r>
        <w:rPr>
          <w:rFonts w:hint="eastAsia" w:hAnsi="宋体"/>
          <w:color w:val="000000"/>
          <w:kern w:val="58"/>
        </w:rPr>
        <w:t>GB/T1176</w:t>
      </w:r>
      <w:r>
        <w:rPr>
          <w:rFonts w:hint="eastAsia" w:hAnsi="宋体"/>
          <w:color w:val="000000"/>
          <w:kern w:val="58"/>
        </w:rPr>
        <w:tab/>
      </w:r>
      <w:r>
        <w:rPr>
          <w:rFonts w:hint="eastAsia" w:hAnsi="宋体"/>
          <w:color w:val="000000"/>
          <w:kern w:val="58"/>
        </w:rPr>
        <w:tab/>
      </w:r>
      <w:r>
        <w:rPr>
          <w:rFonts w:hint="eastAsia" w:hAnsi="宋体"/>
          <w:color w:val="000000"/>
          <w:kern w:val="58"/>
        </w:rPr>
        <w:t xml:space="preserve">   《铸造合金钢技术条件》</w:t>
      </w:r>
    </w:p>
    <w:p>
      <w:pPr>
        <w:pStyle w:val="7"/>
        <w:spacing w:line="360" w:lineRule="auto"/>
        <w:ind w:firstLineChars="200"/>
        <w:rPr>
          <w:rFonts w:hAnsi="宋体"/>
          <w:color w:val="000000"/>
          <w:kern w:val="58"/>
        </w:rPr>
      </w:pPr>
      <w:r>
        <w:rPr>
          <w:rFonts w:hint="eastAsia" w:hAnsi="宋体"/>
          <w:color w:val="000000"/>
          <w:kern w:val="58"/>
        </w:rPr>
        <w:t>GB/T 699</w:t>
      </w:r>
      <w:r>
        <w:rPr>
          <w:rFonts w:hint="eastAsia" w:hAnsi="宋体"/>
          <w:color w:val="000000"/>
          <w:kern w:val="58"/>
        </w:rPr>
        <w:tab/>
      </w:r>
      <w:r>
        <w:rPr>
          <w:rFonts w:hint="eastAsia" w:hAnsi="宋体"/>
          <w:color w:val="000000"/>
          <w:kern w:val="58"/>
        </w:rPr>
        <w:t xml:space="preserve">       《优质碳素结构钢技术条件》</w:t>
      </w:r>
    </w:p>
    <w:p>
      <w:pPr>
        <w:pStyle w:val="7"/>
        <w:spacing w:line="360" w:lineRule="auto"/>
        <w:ind w:firstLineChars="200"/>
        <w:rPr>
          <w:rFonts w:hAnsi="宋体"/>
          <w:color w:val="000000"/>
          <w:kern w:val="58"/>
        </w:rPr>
      </w:pPr>
      <w:r>
        <w:rPr>
          <w:rFonts w:hint="eastAsia" w:hAnsi="宋体"/>
          <w:color w:val="000000"/>
          <w:kern w:val="58"/>
        </w:rPr>
        <w:t>比选申请人应提供投标工装所采用的设计、制造、试验、测试、验收等相关标准目录作为投标附件。计量参数全部采用国际标准单位制。</w:t>
      </w:r>
    </w:p>
    <w:p>
      <w:pPr>
        <w:ind w:firstLine="482" w:firstLineChars="200"/>
        <w:rPr>
          <w:rFonts w:ascii="宋体" w:hAnsi="宋体"/>
          <w:b/>
          <w:bCs/>
        </w:rPr>
      </w:pPr>
      <w:r>
        <w:rPr>
          <w:rFonts w:ascii="宋体" w:hAnsi="宋体"/>
          <w:b/>
          <w:bCs/>
        </w:rPr>
        <w:t>4.2材料</w:t>
      </w:r>
      <w:r>
        <w:rPr>
          <w:rFonts w:hint="eastAsia" w:ascii="宋体" w:hAnsi="宋体"/>
          <w:b/>
          <w:bCs/>
        </w:rPr>
        <w:t>、</w:t>
      </w:r>
      <w:r>
        <w:rPr>
          <w:rFonts w:ascii="宋体" w:hAnsi="宋体"/>
          <w:b/>
          <w:bCs/>
        </w:rPr>
        <w:t>焊接</w:t>
      </w:r>
      <w:r>
        <w:rPr>
          <w:rFonts w:hint="eastAsia" w:ascii="宋体" w:hAnsi="宋体"/>
          <w:b/>
          <w:bCs/>
        </w:rPr>
        <w:t>和探伤</w:t>
      </w:r>
      <w:r>
        <w:rPr>
          <w:rFonts w:ascii="宋体" w:hAnsi="宋体"/>
          <w:b/>
          <w:bCs/>
        </w:rPr>
        <w:t>要求</w:t>
      </w:r>
    </w:p>
    <w:p>
      <w:pPr>
        <w:pStyle w:val="7"/>
        <w:spacing w:line="360" w:lineRule="auto"/>
        <w:ind w:firstLineChars="200"/>
        <w:rPr>
          <w:rFonts w:hAnsi="宋体"/>
          <w:color w:val="000000"/>
          <w:kern w:val="58"/>
        </w:rPr>
      </w:pPr>
      <w:r>
        <w:rPr>
          <w:rFonts w:hint="eastAsia" w:hAnsi="宋体"/>
          <w:color w:val="000000"/>
          <w:kern w:val="58"/>
        </w:rPr>
        <w:t>4.2.1比选申请人保证所供工装是全新的、未使用过的，没有设计、材料或工艺上的缺陷，没有因比选申请人的行为或疏忽而产生的缺陷。</w:t>
      </w:r>
    </w:p>
    <w:p>
      <w:pPr>
        <w:pStyle w:val="7"/>
        <w:spacing w:line="360" w:lineRule="auto"/>
        <w:ind w:firstLineChars="200"/>
        <w:rPr>
          <w:rFonts w:hAnsi="宋体"/>
          <w:color w:val="000000"/>
          <w:kern w:val="58"/>
        </w:rPr>
      </w:pPr>
      <w:r>
        <w:rPr>
          <w:rFonts w:hint="eastAsia" w:hAnsi="宋体"/>
          <w:color w:val="000000"/>
          <w:kern w:val="58"/>
        </w:rPr>
        <w:t>4.2.2钢板的厚度、型钢的规格尺寸、材料外观质量要符合相应的国家标准规定，对尺寸超差和严重锈蚀者不得使用。</w:t>
      </w:r>
    </w:p>
    <w:p>
      <w:pPr>
        <w:pStyle w:val="7"/>
        <w:spacing w:line="360" w:lineRule="auto"/>
        <w:ind w:firstLineChars="200"/>
        <w:rPr>
          <w:rFonts w:hAnsi="宋体"/>
          <w:color w:val="000000"/>
          <w:kern w:val="58"/>
        </w:rPr>
      </w:pPr>
      <w:r>
        <w:rPr>
          <w:rFonts w:hint="eastAsia" w:hAnsi="宋体"/>
          <w:color w:val="000000"/>
          <w:kern w:val="58"/>
        </w:rPr>
        <w:t>4.2.3焊接材料要符合设计要求，并且与母材相匹配，不应使用药皮脱落、焊芯生锈的焊条和受潮的焊剂。焊接材料质量要符合相应的国家标准规定。</w:t>
      </w:r>
    </w:p>
    <w:p>
      <w:pPr>
        <w:pStyle w:val="7"/>
        <w:spacing w:line="360" w:lineRule="auto"/>
        <w:ind w:firstLineChars="200"/>
        <w:rPr>
          <w:rFonts w:hAnsi="宋体"/>
          <w:color w:val="000000"/>
          <w:kern w:val="58"/>
        </w:rPr>
      </w:pPr>
      <w:r>
        <w:rPr>
          <w:rFonts w:hint="eastAsia" w:hAnsi="宋体"/>
          <w:color w:val="000000"/>
          <w:kern w:val="58"/>
        </w:rPr>
        <w:t>4.2.4焊缝要求为连续焊缝，确保无虚焊，控制好变形量，不能有明显的焊瘤、气孔、夹缝等缺陷。</w:t>
      </w:r>
    </w:p>
    <w:p>
      <w:pPr>
        <w:pStyle w:val="7"/>
        <w:spacing w:line="360" w:lineRule="auto"/>
        <w:ind w:firstLineChars="200"/>
        <w:rPr>
          <w:rFonts w:hAnsi="宋体"/>
          <w:color w:val="000000"/>
          <w:kern w:val="58"/>
        </w:rPr>
      </w:pPr>
      <w:r>
        <w:rPr>
          <w:rFonts w:hint="eastAsia" w:hAnsi="宋体"/>
          <w:color w:val="000000"/>
          <w:kern w:val="58"/>
        </w:rPr>
        <w:t>4.2.5工装成型后，所有焊缝须打磨平整，倒角去毛刺。</w:t>
      </w:r>
    </w:p>
    <w:p>
      <w:pPr>
        <w:pStyle w:val="7"/>
        <w:spacing w:line="360" w:lineRule="auto"/>
        <w:ind w:firstLineChars="200"/>
        <w:rPr>
          <w:rFonts w:hAnsi="宋体"/>
          <w:color w:val="000000"/>
          <w:kern w:val="58"/>
        </w:rPr>
      </w:pPr>
      <w:r>
        <w:rPr>
          <w:rFonts w:hint="eastAsia" w:hAnsi="宋体"/>
          <w:color w:val="000000"/>
          <w:kern w:val="58"/>
        </w:rPr>
        <w:t>4.2.6车钩板搬运工装焊缝必须进行探伤检测，以保证焊接质量。</w:t>
      </w:r>
    </w:p>
    <w:p>
      <w:pPr>
        <w:ind w:firstLine="482" w:firstLineChars="200"/>
        <w:rPr>
          <w:rFonts w:ascii="宋体" w:hAnsi="宋体"/>
          <w:b/>
          <w:bCs/>
        </w:rPr>
      </w:pPr>
      <w:r>
        <w:rPr>
          <w:rFonts w:ascii="宋体" w:hAnsi="宋体"/>
          <w:b/>
          <w:bCs/>
        </w:rPr>
        <w:t>4.3涂装要求</w:t>
      </w:r>
    </w:p>
    <w:p>
      <w:pPr>
        <w:pStyle w:val="7"/>
        <w:spacing w:line="360" w:lineRule="auto"/>
        <w:ind w:firstLineChars="200"/>
        <w:rPr>
          <w:rFonts w:hAnsi="宋体"/>
          <w:color w:val="000000"/>
          <w:kern w:val="58"/>
        </w:rPr>
      </w:pPr>
      <w:r>
        <w:rPr>
          <w:rFonts w:hint="eastAsia" w:hAnsi="宋体"/>
          <w:color w:val="000000"/>
          <w:kern w:val="58"/>
        </w:rPr>
        <w:t>4.3.1碳钢结构工装的具体涂装色号、涂装方案及所有工装管理编号在设计联络时确定。</w:t>
      </w:r>
    </w:p>
    <w:p>
      <w:pPr>
        <w:pStyle w:val="7"/>
        <w:spacing w:line="360" w:lineRule="auto"/>
        <w:ind w:firstLineChars="200"/>
        <w:rPr>
          <w:rFonts w:hAnsi="宋体"/>
          <w:color w:val="000000"/>
          <w:kern w:val="58"/>
        </w:rPr>
      </w:pPr>
      <w:r>
        <w:rPr>
          <w:rFonts w:hint="eastAsia" w:hAnsi="宋体"/>
          <w:color w:val="000000"/>
          <w:kern w:val="58"/>
        </w:rPr>
        <w:t>4.3.2油漆前必须清理焊渣及各种工艺焊点、毛刺、铁锈等。</w:t>
      </w:r>
    </w:p>
    <w:p>
      <w:pPr>
        <w:pStyle w:val="7"/>
        <w:spacing w:line="360" w:lineRule="auto"/>
        <w:ind w:firstLineChars="200"/>
        <w:rPr>
          <w:rFonts w:hAnsi="宋体"/>
          <w:color w:val="000000"/>
          <w:kern w:val="58"/>
        </w:rPr>
      </w:pPr>
      <w:r>
        <w:rPr>
          <w:rFonts w:hint="eastAsia" w:hAnsi="宋体"/>
          <w:color w:val="000000"/>
          <w:kern w:val="58"/>
        </w:rPr>
        <w:t>4.3.3先涂底漆，要求目测涂层均匀一致、不露底、无漏涂、无流挂、无粗粒、无针孔、无起泡等现象，用测厚仪测量涂层干膜厚度，每个工装选取3～5个测量点，要求漆膜厚度≥60μm；清洁底漆表面，表面清洁后涂刷面漆，要求目测涂层均匀一致、不露底、无漏涂、无流挂、无粗粒、无针孔、无起泡等现象，用测厚仪测量涂层干膜厚度，每个工装选取3～5个测量点，要求涂层总厚度≥120μm；</w:t>
      </w:r>
    </w:p>
    <w:p>
      <w:pPr>
        <w:pStyle w:val="7"/>
        <w:spacing w:line="360" w:lineRule="auto"/>
        <w:ind w:firstLineChars="200"/>
        <w:rPr>
          <w:rFonts w:hAnsi="宋体"/>
          <w:color w:val="000000"/>
          <w:kern w:val="58"/>
        </w:rPr>
      </w:pPr>
      <w:r>
        <w:rPr>
          <w:rFonts w:hint="eastAsia" w:hAnsi="宋体"/>
          <w:color w:val="000000"/>
          <w:kern w:val="58"/>
        </w:rPr>
        <w:t>4.3.4涂装总体外观要求：涂层表面均匀、细致、光亮、完整、色泽一致，不得有粗糙不平、漏漆、错漆、皱纹、针孔及严重流挂等缺陷。</w:t>
      </w:r>
    </w:p>
    <w:p>
      <w:pPr>
        <w:ind w:firstLine="482" w:firstLineChars="200"/>
        <w:rPr>
          <w:rFonts w:ascii="宋体" w:hAnsi="宋体"/>
          <w:b/>
          <w:bCs/>
        </w:rPr>
      </w:pPr>
      <w:bookmarkStart w:id="16" w:name="_Toc464825137"/>
      <w:bookmarkStart w:id="17" w:name="_Toc463879623"/>
      <w:bookmarkStart w:id="18" w:name="_Toc465871339"/>
      <w:bookmarkStart w:id="19" w:name="_Toc463607314"/>
      <w:bookmarkStart w:id="20" w:name="_Toc463008963"/>
      <w:bookmarkStart w:id="21" w:name="_Toc466650975"/>
      <w:bookmarkStart w:id="22" w:name="_Toc466650420"/>
      <w:bookmarkStart w:id="23" w:name="_Toc26460"/>
      <w:bookmarkStart w:id="24" w:name="_Toc1886"/>
      <w:r>
        <w:rPr>
          <w:rFonts w:hint="eastAsia" w:ascii="宋体" w:hAnsi="宋体"/>
          <w:b/>
          <w:bCs/>
        </w:rPr>
        <w:t>五、</w:t>
      </w:r>
      <w:bookmarkEnd w:id="16"/>
      <w:bookmarkEnd w:id="17"/>
      <w:bookmarkEnd w:id="18"/>
      <w:bookmarkEnd w:id="19"/>
      <w:bookmarkEnd w:id="20"/>
      <w:r>
        <w:rPr>
          <w:rFonts w:hint="eastAsia" w:ascii="宋体" w:hAnsi="宋体"/>
          <w:b/>
          <w:bCs/>
        </w:rPr>
        <w:t>工装详细需求描述</w:t>
      </w:r>
      <w:bookmarkEnd w:id="21"/>
      <w:bookmarkEnd w:id="22"/>
      <w:bookmarkEnd w:id="23"/>
      <w:bookmarkEnd w:id="24"/>
    </w:p>
    <w:p>
      <w:pPr>
        <w:ind w:firstLine="482" w:firstLineChars="200"/>
        <w:rPr>
          <w:rFonts w:ascii="宋体" w:hAnsi="宋体"/>
          <w:b/>
          <w:szCs w:val="28"/>
        </w:rPr>
      </w:pPr>
      <w:bookmarkStart w:id="25" w:name="_Toc7644"/>
      <w:r>
        <w:rPr>
          <w:rFonts w:hint="eastAsia" w:ascii="宋体" w:hAnsi="宋体"/>
          <w:b/>
          <w:szCs w:val="28"/>
        </w:rPr>
        <w:t>5.1</w:t>
      </w:r>
      <w:bookmarkEnd w:id="25"/>
      <w:r>
        <w:rPr>
          <w:rFonts w:hint="eastAsia" w:ascii="宋体" w:hAnsi="宋体"/>
          <w:b/>
          <w:szCs w:val="28"/>
        </w:rPr>
        <w:t>贯通道防护工装</w:t>
      </w:r>
    </w:p>
    <w:p>
      <w:pPr>
        <w:ind w:firstLine="420" w:firstLineChars="200"/>
        <w:rPr>
          <w:rFonts w:ascii="宋体" w:hAnsi="宋体"/>
          <w:color w:val="000000"/>
          <w:kern w:val="58"/>
          <w:sz w:val="21"/>
          <w:szCs w:val="20"/>
        </w:rPr>
      </w:pPr>
      <w:bookmarkStart w:id="26" w:name="_Toc24987"/>
      <w:r>
        <w:rPr>
          <w:rFonts w:hint="eastAsia" w:ascii="宋体" w:hAnsi="宋体"/>
          <w:color w:val="000000"/>
          <w:kern w:val="58"/>
          <w:sz w:val="21"/>
          <w:szCs w:val="20"/>
        </w:rPr>
        <w:t>5.1.1 概述</w:t>
      </w:r>
      <w:bookmarkEnd w:id="26"/>
      <w:bookmarkStart w:id="27" w:name="_Toc21511"/>
    </w:p>
    <w:p>
      <w:pPr>
        <w:ind w:firstLine="420" w:firstLineChars="200"/>
        <w:rPr>
          <w:rFonts w:ascii="宋体" w:hAnsi="宋体"/>
          <w:color w:val="000000"/>
          <w:kern w:val="58"/>
          <w:sz w:val="21"/>
          <w:szCs w:val="20"/>
        </w:rPr>
      </w:pPr>
      <w:r>
        <w:rPr>
          <w:rFonts w:hint="eastAsia" w:ascii="宋体" w:hAnsi="宋体"/>
          <w:color w:val="000000"/>
          <w:kern w:val="58"/>
          <w:sz w:val="21"/>
          <w:szCs w:val="20"/>
        </w:rPr>
        <w:t>贯通道防护工装主要用于宁波市轨道交通电客车架修解编后贯通道部位的防护，安装在车端贯通道部位扶手上，起到防止车上作业人员意外掉落的作用。</w:t>
      </w:r>
      <w:bookmarkEnd w:id="27"/>
    </w:p>
    <w:p>
      <w:pPr>
        <w:ind w:firstLine="420" w:firstLineChars="200"/>
        <w:rPr>
          <w:rFonts w:ascii="宋体" w:hAnsi="宋体"/>
          <w:color w:val="000000"/>
          <w:kern w:val="58"/>
          <w:sz w:val="21"/>
          <w:szCs w:val="20"/>
        </w:rPr>
      </w:pPr>
      <w:r>
        <w:rPr>
          <w:rFonts w:hint="eastAsia" w:ascii="宋体" w:hAnsi="宋体"/>
          <w:color w:val="000000"/>
          <w:kern w:val="58"/>
          <w:sz w:val="21"/>
          <w:szCs w:val="20"/>
        </w:rPr>
        <w:t>5.1.2 技术要求</w:t>
      </w:r>
    </w:p>
    <w:p>
      <w:pPr>
        <w:ind w:firstLine="420" w:firstLineChars="200"/>
        <w:rPr>
          <w:rFonts w:ascii="宋体" w:hAnsi="宋体"/>
          <w:color w:val="000000"/>
          <w:kern w:val="58"/>
          <w:sz w:val="21"/>
          <w:szCs w:val="20"/>
        </w:rPr>
      </w:pPr>
      <w:bookmarkStart w:id="28" w:name="OLE_LINK3"/>
      <w:bookmarkStart w:id="29" w:name="OLE_LINK4"/>
      <w:r>
        <w:rPr>
          <w:rFonts w:ascii="宋体" w:hAnsi="宋体"/>
          <w:color w:val="000000"/>
          <w:kern w:val="58"/>
          <w:sz w:val="21"/>
          <w:szCs w:val="20"/>
        </w:rPr>
        <w:t>整体结构为</w:t>
      </w:r>
      <w:r>
        <w:rPr>
          <w:rFonts w:hint="eastAsia" w:ascii="宋体" w:hAnsi="宋体"/>
          <w:color w:val="000000"/>
          <w:kern w:val="58"/>
          <w:sz w:val="21"/>
          <w:szCs w:val="20"/>
        </w:rPr>
        <w:t>铝合金</w:t>
      </w:r>
      <w:r>
        <w:rPr>
          <w:rFonts w:ascii="宋体" w:hAnsi="宋体"/>
          <w:color w:val="000000"/>
          <w:kern w:val="58"/>
          <w:sz w:val="21"/>
          <w:szCs w:val="20"/>
        </w:rPr>
        <w:t>材质，通过螺纹连接或焊接组装</w:t>
      </w:r>
      <w:r>
        <w:rPr>
          <w:rFonts w:hint="eastAsia" w:ascii="宋体" w:hAnsi="宋体"/>
          <w:color w:val="000000"/>
          <w:kern w:val="58"/>
          <w:sz w:val="21"/>
          <w:szCs w:val="20"/>
        </w:rPr>
        <w:t>成一个整体</w:t>
      </w:r>
      <w:r>
        <w:rPr>
          <w:rFonts w:ascii="宋体" w:hAnsi="宋体"/>
          <w:color w:val="000000"/>
          <w:kern w:val="58"/>
          <w:sz w:val="21"/>
          <w:szCs w:val="20"/>
        </w:rPr>
        <w:t>。夹钳为平行四连杆机构，钳口覆盖橡胶或其他软质材料保护被夹对象。基本的技术要求见图纸0</w:t>
      </w:r>
      <w:r>
        <w:rPr>
          <w:rFonts w:hint="eastAsia" w:ascii="宋体" w:hAnsi="宋体"/>
          <w:color w:val="000000"/>
          <w:kern w:val="58"/>
          <w:sz w:val="21"/>
          <w:szCs w:val="20"/>
        </w:rPr>
        <w:t>1</w:t>
      </w:r>
      <w:r>
        <w:rPr>
          <w:rFonts w:ascii="宋体" w:hAnsi="宋体"/>
          <w:color w:val="000000"/>
          <w:kern w:val="58"/>
          <w:sz w:val="21"/>
          <w:szCs w:val="20"/>
        </w:rPr>
        <w:t>-</w:t>
      </w:r>
      <w:r>
        <w:rPr>
          <w:rFonts w:hint="eastAsia" w:ascii="宋体" w:hAnsi="宋体"/>
          <w:color w:val="000000"/>
          <w:kern w:val="58"/>
          <w:sz w:val="21"/>
          <w:szCs w:val="20"/>
        </w:rPr>
        <w:t>贯通道防护工装</w:t>
      </w:r>
      <w:r>
        <w:rPr>
          <w:rFonts w:ascii="宋体" w:hAnsi="宋体"/>
          <w:color w:val="000000"/>
          <w:kern w:val="58"/>
          <w:sz w:val="21"/>
          <w:szCs w:val="20"/>
        </w:rPr>
        <w:t>图纸，最终详细的设计方案及技术参数要求通过现场实际测量并在设计联络时确定。</w:t>
      </w:r>
    </w:p>
    <w:p>
      <w:pPr>
        <w:ind w:firstLine="482" w:firstLineChars="200"/>
        <w:rPr>
          <w:rFonts w:ascii="宋体" w:hAnsi="宋体"/>
          <w:b/>
          <w:szCs w:val="28"/>
        </w:rPr>
      </w:pPr>
      <w:r>
        <w:rPr>
          <w:rFonts w:hint="eastAsia" w:ascii="宋体" w:hAnsi="宋体"/>
          <w:b/>
          <w:szCs w:val="28"/>
        </w:rPr>
        <w:t>5.2贯通道吊运工装</w:t>
      </w:r>
    </w:p>
    <w:bookmarkEnd w:id="28"/>
    <w:bookmarkEnd w:id="29"/>
    <w:p>
      <w:pPr>
        <w:ind w:firstLine="420" w:firstLineChars="200"/>
        <w:rPr>
          <w:rFonts w:ascii="宋体" w:hAnsi="宋体"/>
          <w:color w:val="000000"/>
          <w:kern w:val="58"/>
          <w:sz w:val="21"/>
          <w:szCs w:val="20"/>
        </w:rPr>
      </w:pPr>
      <w:r>
        <w:rPr>
          <w:rFonts w:hint="eastAsia" w:ascii="宋体" w:hAnsi="宋体"/>
          <w:color w:val="000000"/>
          <w:kern w:val="58"/>
          <w:sz w:val="21"/>
          <w:szCs w:val="20"/>
        </w:rPr>
        <w:t>5.2.1 概述</w:t>
      </w:r>
    </w:p>
    <w:p>
      <w:pPr>
        <w:ind w:firstLine="420" w:firstLineChars="200"/>
        <w:rPr>
          <w:rFonts w:ascii="宋体" w:hAnsi="宋体"/>
          <w:color w:val="000000"/>
          <w:kern w:val="58"/>
          <w:sz w:val="21"/>
          <w:szCs w:val="20"/>
        </w:rPr>
      </w:pPr>
      <w:r>
        <w:rPr>
          <w:rFonts w:hint="eastAsia" w:ascii="宋体" w:hAnsi="宋体"/>
          <w:color w:val="000000"/>
          <w:kern w:val="58"/>
          <w:sz w:val="21"/>
          <w:szCs w:val="20"/>
        </w:rPr>
        <w:t>贯通道吊运工装主要用于宁波市轨道交通1、2、3号线电客车架修时贯通道的吊运作业。</w:t>
      </w:r>
    </w:p>
    <w:p>
      <w:pPr>
        <w:ind w:firstLine="420" w:firstLineChars="200"/>
        <w:rPr>
          <w:rFonts w:ascii="宋体" w:hAnsi="宋体"/>
          <w:color w:val="000000"/>
          <w:kern w:val="58"/>
          <w:sz w:val="21"/>
          <w:szCs w:val="20"/>
        </w:rPr>
      </w:pPr>
      <w:r>
        <w:rPr>
          <w:rFonts w:hint="eastAsia" w:ascii="宋体" w:hAnsi="宋体"/>
          <w:color w:val="000000"/>
          <w:kern w:val="58"/>
          <w:sz w:val="21"/>
          <w:szCs w:val="20"/>
        </w:rPr>
        <w:t>5.2.2 技术要求</w:t>
      </w:r>
    </w:p>
    <w:p>
      <w:pPr>
        <w:ind w:firstLine="420" w:firstLineChars="200"/>
        <w:rPr>
          <w:rFonts w:ascii="宋体" w:hAnsi="宋体"/>
          <w:color w:val="000000"/>
          <w:kern w:val="58"/>
          <w:sz w:val="21"/>
          <w:szCs w:val="20"/>
        </w:rPr>
      </w:pPr>
      <w:r>
        <w:rPr>
          <w:rFonts w:ascii="宋体" w:hAnsi="宋体"/>
          <w:color w:val="000000"/>
          <w:kern w:val="58"/>
          <w:sz w:val="21"/>
          <w:szCs w:val="20"/>
        </w:rPr>
        <w:t>整体结构</w:t>
      </w:r>
      <w:r>
        <w:rPr>
          <w:rFonts w:hint="eastAsia" w:ascii="宋体" w:hAnsi="宋体"/>
          <w:color w:val="000000"/>
          <w:kern w:val="58"/>
          <w:sz w:val="21"/>
          <w:szCs w:val="20"/>
        </w:rPr>
        <w:t>为铝合金</w:t>
      </w:r>
      <w:r>
        <w:rPr>
          <w:rFonts w:ascii="宋体" w:hAnsi="宋体"/>
          <w:color w:val="000000"/>
          <w:kern w:val="58"/>
          <w:sz w:val="21"/>
          <w:szCs w:val="20"/>
        </w:rPr>
        <w:t>材质，通过焊接</w:t>
      </w:r>
      <w:r>
        <w:rPr>
          <w:rFonts w:hint="eastAsia" w:ascii="宋体" w:hAnsi="宋体"/>
          <w:color w:val="000000"/>
          <w:kern w:val="58"/>
          <w:sz w:val="21"/>
          <w:szCs w:val="20"/>
        </w:rPr>
        <w:t>而成</w:t>
      </w:r>
      <w:r>
        <w:rPr>
          <w:rFonts w:ascii="宋体" w:hAnsi="宋体"/>
          <w:color w:val="000000"/>
          <w:kern w:val="58"/>
          <w:sz w:val="21"/>
          <w:szCs w:val="20"/>
        </w:rPr>
        <w:t>。被吊对象接触处贴泡沫橡胶或其他缓冲材料，吊带接触处覆盖尼龙或其他</w:t>
      </w:r>
      <w:r>
        <w:rPr>
          <w:rFonts w:hint="eastAsia" w:ascii="宋体" w:hAnsi="宋体"/>
          <w:color w:val="000000"/>
          <w:kern w:val="58"/>
          <w:sz w:val="21"/>
          <w:szCs w:val="20"/>
        </w:rPr>
        <w:t>耐磨</w:t>
      </w:r>
      <w:r>
        <w:rPr>
          <w:rFonts w:ascii="宋体" w:hAnsi="宋体"/>
          <w:color w:val="000000"/>
          <w:kern w:val="58"/>
          <w:sz w:val="21"/>
          <w:szCs w:val="20"/>
        </w:rPr>
        <w:t>材料。基本的技术要求见图纸02-</w:t>
      </w:r>
      <w:r>
        <w:rPr>
          <w:rFonts w:hint="eastAsia" w:ascii="宋体" w:hAnsi="宋体"/>
          <w:color w:val="000000"/>
          <w:kern w:val="58"/>
          <w:sz w:val="21"/>
          <w:szCs w:val="20"/>
        </w:rPr>
        <w:t>贯通道吊运工装</w:t>
      </w:r>
      <w:r>
        <w:rPr>
          <w:rFonts w:ascii="宋体" w:hAnsi="宋体"/>
          <w:color w:val="000000"/>
          <w:kern w:val="58"/>
          <w:sz w:val="21"/>
          <w:szCs w:val="20"/>
        </w:rPr>
        <w:t>图纸，最终详细的设计方案及技术参数要求通过现场实际测量并在设计联络时确定。</w:t>
      </w:r>
    </w:p>
    <w:p>
      <w:pPr>
        <w:ind w:firstLine="482" w:firstLineChars="200"/>
        <w:rPr>
          <w:rFonts w:ascii="宋体" w:hAnsi="宋体"/>
          <w:b/>
          <w:szCs w:val="28"/>
        </w:rPr>
      </w:pPr>
      <w:r>
        <w:rPr>
          <w:rFonts w:hint="eastAsia" w:ascii="宋体" w:hAnsi="宋体"/>
          <w:b/>
          <w:szCs w:val="28"/>
        </w:rPr>
        <w:t>5.3</w:t>
      </w:r>
      <w:r>
        <w:rPr>
          <w:rFonts w:ascii="宋体" w:hAnsi="宋体"/>
          <w:b/>
          <w:szCs w:val="28"/>
        </w:rPr>
        <w:t>车钩板搬运工装</w:t>
      </w:r>
    </w:p>
    <w:p>
      <w:pPr>
        <w:ind w:firstLine="420" w:firstLineChars="200"/>
        <w:rPr>
          <w:rFonts w:ascii="宋体" w:hAnsi="宋体"/>
          <w:color w:val="000000"/>
          <w:kern w:val="58"/>
          <w:sz w:val="21"/>
          <w:szCs w:val="20"/>
        </w:rPr>
      </w:pPr>
      <w:r>
        <w:rPr>
          <w:rFonts w:hint="eastAsia" w:ascii="宋体" w:hAnsi="宋体"/>
          <w:color w:val="000000"/>
          <w:kern w:val="58"/>
          <w:sz w:val="21"/>
          <w:szCs w:val="20"/>
        </w:rPr>
        <w:t>5.3.1 概述</w:t>
      </w:r>
    </w:p>
    <w:p>
      <w:pPr>
        <w:ind w:firstLine="420" w:firstLineChars="200"/>
        <w:rPr>
          <w:rFonts w:ascii="宋体" w:hAnsi="宋体"/>
          <w:color w:val="000000"/>
          <w:kern w:val="58"/>
          <w:sz w:val="21"/>
          <w:szCs w:val="20"/>
        </w:rPr>
      </w:pPr>
      <w:r>
        <w:rPr>
          <w:rFonts w:ascii="宋体" w:hAnsi="宋体"/>
          <w:color w:val="000000"/>
          <w:kern w:val="58"/>
          <w:sz w:val="21"/>
          <w:szCs w:val="20"/>
        </w:rPr>
        <w:t>车钩板搬运工装主要用于宁波市轨道交通</w:t>
      </w:r>
      <w:r>
        <w:rPr>
          <w:rFonts w:hint="eastAsia" w:ascii="宋体" w:hAnsi="宋体"/>
          <w:color w:val="000000"/>
          <w:kern w:val="58"/>
          <w:sz w:val="21"/>
          <w:szCs w:val="20"/>
        </w:rPr>
        <w:t>电客车</w:t>
      </w:r>
      <w:r>
        <w:rPr>
          <w:rFonts w:ascii="宋体" w:hAnsi="宋体"/>
          <w:color w:val="000000"/>
          <w:kern w:val="58"/>
          <w:sz w:val="21"/>
          <w:szCs w:val="20"/>
        </w:rPr>
        <w:t>架修时车钩板</w:t>
      </w:r>
      <w:r>
        <w:rPr>
          <w:rFonts w:hint="eastAsia" w:ascii="宋体" w:hAnsi="宋体"/>
          <w:color w:val="000000"/>
          <w:kern w:val="58"/>
          <w:sz w:val="21"/>
          <w:szCs w:val="20"/>
        </w:rPr>
        <w:t>拆卸后</w:t>
      </w:r>
      <w:r>
        <w:rPr>
          <w:rFonts w:ascii="宋体" w:hAnsi="宋体"/>
          <w:color w:val="000000"/>
          <w:kern w:val="58"/>
          <w:sz w:val="21"/>
          <w:szCs w:val="20"/>
        </w:rPr>
        <w:t>的</w:t>
      </w:r>
      <w:r>
        <w:rPr>
          <w:rFonts w:hint="eastAsia" w:ascii="宋体" w:hAnsi="宋体"/>
          <w:color w:val="000000"/>
          <w:kern w:val="58"/>
          <w:sz w:val="21"/>
          <w:szCs w:val="20"/>
        </w:rPr>
        <w:t>搬运作业。</w:t>
      </w:r>
    </w:p>
    <w:p>
      <w:pPr>
        <w:ind w:firstLine="420" w:firstLineChars="200"/>
        <w:rPr>
          <w:rFonts w:ascii="宋体" w:hAnsi="宋体"/>
          <w:color w:val="000000"/>
          <w:kern w:val="58"/>
          <w:sz w:val="21"/>
          <w:szCs w:val="20"/>
        </w:rPr>
      </w:pPr>
      <w:r>
        <w:rPr>
          <w:rFonts w:hint="eastAsia" w:ascii="宋体" w:hAnsi="宋体"/>
          <w:color w:val="000000"/>
          <w:kern w:val="58"/>
          <w:sz w:val="21"/>
          <w:szCs w:val="20"/>
        </w:rPr>
        <w:t>5.3.2 技术要求</w:t>
      </w:r>
    </w:p>
    <w:p>
      <w:pPr>
        <w:ind w:firstLine="420" w:firstLineChars="200"/>
        <w:rPr>
          <w:rFonts w:ascii="宋体" w:hAnsi="宋体"/>
          <w:color w:val="000000"/>
          <w:kern w:val="58"/>
          <w:sz w:val="21"/>
          <w:szCs w:val="20"/>
        </w:rPr>
      </w:pPr>
      <w:r>
        <w:rPr>
          <w:rFonts w:ascii="宋体" w:hAnsi="宋体"/>
          <w:color w:val="000000"/>
          <w:kern w:val="58"/>
          <w:sz w:val="21"/>
          <w:szCs w:val="20"/>
        </w:rPr>
        <w:t>整体框架由50×50×3的Q235方管焊接而成，承载区域为尼龙材质。配置4个5寸（φ125mm）脚轮，2个定向不带刹车，2个万向带刹车，基本的技术要求参见图纸0</w:t>
      </w:r>
      <w:r>
        <w:rPr>
          <w:rFonts w:hint="eastAsia" w:ascii="宋体" w:hAnsi="宋体"/>
          <w:color w:val="000000"/>
          <w:kern w:val="58"/>
          <w:sz w:val="21"/>
          <w:szCs w:val="20"/>
        </w:rPr>
        <w:t>3</w:t>
      </w:r>
      <w:r>
        <w:rPr>
          <w:rFonts w:ascii="宋体" w:hAnsi="宋体"/>
          <w:color w:val="000000"/>
          <w:kern w:val="58"/>
          <w:sz w:val="21"/>
          <w:szCs w:val="20"/>
        </w:rPr>
        <w:t>-车钩板搬运工装图纸，最终详细的设计方案及技术参数要求通过现场实际测量在设计联络时确定</w:t>
      </w:r>
      <w:r>
        <w:rPr>
          <w:rFonts w:hint="eastAsia" w:ascii="宋体" w:hAnsi="宋体"/>
          <w:color w:val="000000"/>
          <w:kern w:val="58"/>
          <w:sz w:val="21"/>
          <w:szCs w:val="20"/>
        </w:rPr>
        <w:t xml:space="preserve">。 </w:t>
      </w:r>
    </w:p>
    <w:p>
      <w:pPr>
        <w:ind w:firstLine="482" w:firstLineChars="200"/>
        <w:rPr>
          <w:rFonts w:ascii="宋体" w:hAnsi="宋体"/>
          <w:b/>
          <w:szCs w:val="28"/>
        </w:rPr>
      </w:pPr>
      <w:r>
        <w:rPr>
          <w:rFonts w:hint="eastAsia" w:ascii="宋体" w:hAnsi="宋体"/>
          <w:b/>
          <w:szCs w:val="28"/>
        </w:rPr>
        <w:t>5.4齿轮箱吊杆轴承拆卸工装</w:t>
      </w:r>
    </w:p>
    <w:p>
      <w:pPr>
        <w:ind w:firstLine="420" w:firstLineChars="200"/>
        <w:rPr>
          <w:rFonts w:ascii="宋体" w:hAnsi="宋体"/>
          <w:color w:val="000000"/>
          <w:kern w:val="58"/>
          <w:sz w:val="21"/>
          <w:szCs w:val="20"/>
        </w:rPr>
      </w:pPr>
      <w:bookmarkStart w:id="30" w:name="OLE_LINK2"/>
      <w:bookmarkStart w:id="31" w:name="OLE_LINK1"/>
      <w:r>
        <w:rPr>
          <w:rFonts w:hint="eastAsia" w:ascii="宋体" w:hAnsi="宋体"/>
          <w:color w:val="000000"/>
          <w:kern w:val="58"/>
          <w:sz w:val="21"/>
          <w:szCs w:val="20"/>
        </w:rPr>
        <w:t>5.4.1 概述</w:t>
      </w:r>
    </w:p>
    <w:p>
      <w:pPr>
        <w:ind w:firstLine="420" w:firstLineChars="200"/>
        <w:rPr>
          <w:rFonts w:ascii="宋体" w:hAnsi="宋体"/>
          <w:color w:val="000000"/>
          <w:kern w:val="58"/>
          <w:sz w:val="21"/>
          <w:szCs w:val="20"/>
        </w:rPr>
      </w:pPr>
      <w:r>
        <w:rPr>
          <w:rFonts w:hint="eastAsia" w:ascii="宋体" w:hAnsi="宋体"/>
          <w:color w:val="000000"/>
          <w:kern w:val="58"/>
          <w:sz w:val="21"/>
          <w:szCs w:val="20"/>
        </w:rPr>
        <w:t>齿轮箱吊杆轴承拆卸工装</w:t>
      </w:r>
      <w:r>
        <w:rPr>
          <w:rFonts w:ascii="宋体" w:hAnsi="宋体"/>
          <w:color w:val="000000"/>
          <w:kern w:val="58"/>
          <w:sz w:val="21"/>
          <w:szCs w:val="20"/>
        </w:rPr>
        <w:t>主要用于宁波市轨道交通1号线</w:t>
      </w:r>
      <w:r>
        <w:rPr>
          <w:rFonts w:hint="eastAsia" w:ascii="宋体" w:hAnsi="宋体"/>
          <w:color w:val="000000"/>
          <w:kern w:val="58"/>
          <w:sz w:val="21"/>
          <w:szCs w:val="20"/>
        </w:rPr>
        <w:t>二期电客车</w:t>
      </w:r>
      <w:r>
        <w:rPr>
          <w:rFonts w:ascii="宋体" w:hAnsi="宋体"/>
          <w:color w:val="000000"/>
          <w:kern w:val="58"/>
          <w:sz w:val="21"/>
          <w:szCs w:val="20"/>
        </w:rPr>
        <w:t>架修时</w:t>
      </w:r>
      <w:r>
        <w:rPr>
          <w:rFonts w:hint="eastAsia" w:ascii="宋体" w:hAnsi="宋体"/>
          <w:color w:val="000000"/>
          <w:kern w:val="58"/>
          <w:sz w:val="21"/>
          <w:szCs w:val="20"/>
        </w:rPr>
        <w:t>齿轮箱吊杆轴承的拆卸作业。</w:t>
      </w:r>
    </w:p>
    <w:p>
      <w:pPr>
        <w:ind w:firstLine="420" w:firstLineChars="200"/>
        <w:rPr>
          <w:rFonts w:ascii="宋体" w:hAnsi="宋体"/>
          <w:color w:val="000000"/>
          <w:kern w:val="58"/>
          <w:sz w:val="21"/>
          <w:szCs w:val="20"/>
        </w:rPr>
      </w:pPr>
      <w:r>
        <w:rPr>
          <w:rFonts w:hint="eastAsia" w:ascii="宋体" w:hAnsi="宋体"/>
          <w:color w:val="000000"/>
          <w:kern w:val="58"/>
          <w:sz w:val="21"/>
          <w:szCs w:val="20"/>
        </w:rPr>
        <w:t>5.4.2 技术要求</w:t>
      </w:r>
    </w:p>
    <w:p>
      <w:pPr>
        <w:ind w:firstLine="420" w:firstLineChars="200"/>
        <w:rPr>
          <w:rFonts w:ascii="宋体" w:hAnsi="宋体"/>
          <w:color w:val="000000"/>
          <w:kern w:val="58"/>
          <w:sz w:val="21"/>
          <w:szCs w:val="20"/>
        </w:rPr>
      </w:pPr>
      <w:r>
        <w:rPr>
          <w:rFonts w:hint="eastAsia" w:ascii="宋体" w:hAnsi="宋体"/>
          <w:color w:val="000000"/>
          <w:kern w:val="58"/>
          <w:sz w:val="21"/>
          <w:szCs w:val="20"/>
        </w:rPr>
        <w:t>工装由45钢加工而成</w:t>
      </w:r>
      <w:r>
        <w:rPr>
          <w:rFonts w:ascii="宋体" w:hAnsi="宋体"/>
          <w:color w:val="000000"/>
          <w:kern w:val="58"/>
          <w:sz w:val="21"/>
          <w:szCs w:val="20"/>
        </w:rPr>
        <w:t>，</w:t>
      </w:r>
      <w:r>
        <w:rPr>
          <w:rFonts w:hint="eastAsia" w:ascii="宋体" w:hAnsi="宋体"/>
          <w:color w:val="000000"/>
          <w:kern w:val="58"/>
          <w:sz w:val="21"/>
          <w:szCs w:val="20"/>
        </w:rPr>
        <w:t>淬火处理</w:t>
      </w:r>
      <w:r>
        <w:rPr>
          <w:rFonts w:ascii="宋体" w:hAnsi="宋体"/>
          <w:color w:val="000000"/>
          <w:kern w:val="58"/>
          <w:sz w:val="21"/>
          <w:szCs w:val="20"/>
        </w:rPr>
        <w:t>，基本的技术要求参见图纸0</w:t>
      </w:r>
      <w:r>
        <w:rPr>
          <w:rFonts w:hint="eastAsia" w:ascii="宋体" w:hAnsi="宋体"/>
          <w:color w:val="000000"/>
          <w:kern w:val="58"/>
          <w:sz w:val="21"/>
          <w:szCs w:val="20"/>
        </w:rPr>
        <w:t>4</w:t>
      </w:r>
      <w:r>
        <w:rPr>
          <w:rFonts w:ascii="宋体" w:hAnsi="宋体"/>
          <w:color w:val="000000"/>
          <w:kern w:val="58"/>
          <w:sz w:val="21"/>
          <w:szCs w:val="20"/>
        </w:rPr>
        <w:t>-</w:t>
      </w:r>
      <w:r>
        <w:rPr>
          <w:rFonts w:hint="eastAsia" w:ascii="宋体" w:hAnsi="宋体"/>
          <w:color w:val="000000"/>
          <w:kern w:val="58"/>
          <w:sz w:val="21"/>
          <w:szCs w:val="20"/>
        </w:rPr>
        <w:t>齿轮箱吊杆轴承拆卸工装</w:t>
      </w:r>
      <w:r>
        <w:rPr>
          <w:rFonts w:ascii="宋体" w:hAnsi="宋体"/>
          <w:color w:val="000000"/>
          <w:kern w:val="58"/>
          <w:sz w:val="21"/>
          <w:szCs w:val="20"/>
        </w:rPr>
        <w:t>图纸，最终详细的设计方案及技术参数要求通过现场实际测量在设计联络时确定</w:t>
      </w:r>
      <w:r>
        <w:rPr>
          <w:rFonts w:hint="eastAsia" w:ascii="宋体" w:hAnsi="宋体"/>
          <w:color w:val="000000"/>
          <w:kern w:val="58"/>
          <w:sz w:val="21"/>
          <w:szCs w:val="20"/>
        </w:rPr>
        <w:t xml:space="preserve">。 </w:t>
      </w:r>
    </w:p>
    <w:bookmarkEnd w:id="30"/>
    <w:bookmarkEnd w:id="31"/>
    <w:p>
      <w:pPr>
        <w:ind w:firstLine="482" w:firstLineChars="200"/>
        <w:rPr>
          <w:rFonts w:ascii="宋体" w:hAnsi="宋体"/>
          <w:b/>
          <w:szCs w:val="28"/>
        </w:rPr>
      </w:pPr>
      <w:r>
        <w:rPr>
          <w:rFonts w:hint="eastAsia" w:ascii="宋体" w:hAnsi="宋体"/>
          <w:b/>
          <w:szCs w:val="28"/>
        </w:rPr>
        <w:t>5.5齿轮箱吊杆轴承压装工装</w:t>
      </w:r>
    </w:p>
    <w:p>
      <w:pPr>
        <w:ind w:firstLine="420" w:firstLineChars="200"/>
        <w:rPr>
          <w:rFonts w:ascii="宋体" w:hAnsi="宋体"/>
          <w:color w:val="000000"/>
          <w:kern w:val="58"/>
          <w:sz w:val="21"/>
          <w:szCs w:val="20"/>
        </w:rPr>
      </w:pPr>
      <w:r>
        <w:rPr>
          <w:rFonts w:hint="eastAsia" w:ascii="宋体" w:hAnsi="宋体"/>
          <w:color w:val="000000"/>
          <w:kern w:val="58"/>
          <w:sz w:val="21"/>
          <w:szCs w:val="20"/>
        </w:rPr>
        <w:t>5.5.1 概述</w:t>
      </w:r>
    </w:p>
    <w:p>
      <w:pPr>
        <w:ind w:firstLine="420" w:firstLineChars="200"/>
        <w:rPr>
          <w:rFonts w:ascii="宋体" w:hAnsi="宋体"/>
          <w:color w:val="000000"/>
          <w:kern w:val="58"/>
          <w:sz w:val="21"/>
          <w:szCs w:val="20"/>
        </w:rPr>
      </w:pPr>
      <w:r>
        <w:rPr>
          <w:rFonts w:hint="eastAsia" w:ascii="宋体" w:hAnsi="宋体"/>
          <w:color w:val="000000"/>
          <w:kern w:val="58"/>
          <w:sz w:val="21"/>
          <w:szCs w:val="20"/>
        </w:rPr>
        <w:t>齿轮箱吊杆轴承压装工装</w:t>
      </w:r>
      <w:r>
        <w:rPr>
          <w:rFonts w:ascii="宋体" w:hAnsi="宋体"/>
          <w:color w:val="000000"/>
          <w:kern w:val="58"/>
          <w:sz w:val="21"/>
          <w:szCs w:val="20"/>
        </w:rPr>
        <w:t>主要用于宁波市轨道交通1号线</w:t>
      </w:r>
      <w:r>
        <w:rPr>
          <w:rFonts w:hint="eastAsia" w:ascii="宋体" w:hAnsi="宋体"/>
          <w:color w:val="000000"/>
          <w:kern w:val="58"/>
          <w:sz w:val="21"/>
          <w:szCs w:val="20"/>
        </w:rPr>
        <w:t>二期电客车</w:t>
      </w:r>
      <w:r>
        <w:rPr>
          <w:rFonts w:ascii="宋体" w:hAnsi="宋体"/>
          <w:color w:val="000000"/>
          <w:kern w:val="58"/>
          <w:sz w:val="21"/>
          <w:szCs w:val="20"/>
        </w:rPr>
        <w:t>架修时</w:t>
      </w:r>
      <w:r>
        <w:rPr>
          <w:rFonts w:hint="eastAsia" w:ascii="宋体" w:hAnsi="宋体"/>
          <w:color w:val="000000"/>
          <w:kern w:val="58"/>
          <w:sz w:val="21"/>
          <w:szCs w:val="20"/>
        </w:rPr>
        <w:t>齿轮箱吊杆轴承的压装作业。</w:t>
      </w:r>
    </w:p>
    <w:p>
      <w:pPr>
        <w:ind w:firstLine="420" w:firstLineChars="200"/>
        <w:rPr>
          <w:rFonts w:ascii="宋体" w:hAnsi="宋体"/>
          <w:color w:val="000000"/>
          <w:kern w:val="58"/>
          <w:sz w:val="21"/>
          <w:szCs w:val="20"/>
        </w:rPr>
      </w:pPr>
      <w:r>
        <w:rPr>
          <w:rFonts w:hint="eastAsia" w:ascii="宋体" w:hAnsi="宋体"/>
          <w:color w:val="000000"/>
          <w:kern w:val="58"/>
          <w:sz w:val="21"/>
          <w:szCs w:val="20"/>
        </w:rPr>
        <w:t>5.5.2 技术要求</w:t>
      </w:r>
    </w:p>
    <w:p>
      <w:pPr>
        <w:ind w:firstLine="420" w:firstLineChars="200"/>
        <w:rPr>
          <w:rFonts w:ascii="宋体" w:hAnsi="宋体"/>
          <w:color w:val="000000"/>
          <w:kern w:val="58"/>
          <w:sz w:val="21"/>
          <w:szCs w:val="20"/>
        </w:rPr>
      </w:pPr>
      <w:r>
        <w:rPr>
          <w:rFonts w:hint="eastAsia" w:ascii="宋体" w:hAnsi="宋体"/>
          <w:color w:val="000000"/>
          <w:kern w:val="58"/>
          <w:sz w:val="21"/>
          <w:szCs w:val="20"/>
        </w:rPr>
        <w:t>工装由45钢加工而成</w:t>
      </w:r>
      <w:r>
        <w:rPr>
          <w:rFonts w:ascii="宋体" w:hAnsi="宋体"/>
          <w:color w:val="000000"/>
          <w:kern w:val="58"/>
          <w:sz w:val="21"/>
          <w:szCs w:val="20"/>
        </w:rPr>
        <w:t>，</w:t>
      </w:r>
      <w:r>
        <w:rPr>
          <w:rFonts w:hint="eastAsia" w:ascii="宋体" w:hAnsi="宋体"/>
          <w:color w:val="000000"/>
          <w:kern w:val="58"/>
          <w:sz w:val="21"/>
          <w:szCs w:val="20"/>
        </w:rPr>
        <w:t>淬火处理</w:t>
      </w:r>
      <w:r>
        <w:rPr>
          <w:rFonts w:ascii="宋体" w:hAnsi="宋体"/>
          <w:color w:val="000000"/>
          <w:kern w:val="58"/>
          <w:sz w:val="21"/>
          <w:szCs w:val="20"/>
        </w:rPr>
        <w:t>，基本的技术要求参见图纸0</w:t>
      </w:r>
      <w:r>
        <w:rPr>
          <w:rFonts w:hint="eastAsia" w:ascii="宋体" w:hAnsi="宋体"/>
          <w:color w:val="000000"/>
          <w:kern w:val="58"/>
          <w:sz w:val="21"/>
          <w:szCs w:val="20"/>
        </w:rPr>
        <w:t>5</w:t>
      </w:r>
      <w:r>
        <w:rPr>
          <w:rFonts w:ascii="宋体" w:hAnsi="宋体"/>
          <w:color w:val="000000"/>
          <w:kern w:val="58"/>
          <w:sz w:val="21"/>
          <w:szCs w:val="20"/>
        </w:rPr>
        <w:t>-</w:t>
      </w:r>
      <w:r>
        <w:rPr>
          <w:rFonts w:hint="eastAsia" w:ascii="宋体" w:hAnsi="宋体"/>
          <w:color w:val="000000"/>
          <w:kern w:val="58"/>
          <w:sz w:val="21"/>
          <w:szCs w:val="20"/>
        </w:rPr>
        <w:t>齿轮箱吊杆轴承压装工装</w:t>
      </w:r>
      <w:r>
        <w:rPr>
          <w:rFonts w:ascii="宋体" w:hAnsi="宋体"/>
          <w:color w:val="000000"/>
          <w:kern w:val="58"/>
          <w:sz w:val="21"/>
          <w:szCs w:val="20"/>
        </w:rPr>
        <w:t>图纸，最终详细的设计方案及技术参数要求通过现场实际测量在设计联络时确定</w:t>
      </w:r>
      <w:r>
        <w:rPr>
          <w:rFonts w:hint="eastAsia" w:ascii="宋体" w:hAnsi="宋体"/>
          <w:color w:val="000000"/>
          <w:kern w:val="58"/>
          <w:sz w:val="21"/>
          <w:szCs w:val="20"/>
        </w:rPr>
        <w:t>。</w:t>
      </w:r>
    </w:p>
    <w:p>
      <w:pPr>
        <w:ind w:firstLine="482" w:firstLineChars="200"/>
        <w:rPr>
          <w:rFonts w:ascii="宋体" w:hAnsi="宋体"/>
          <w:b/>
          <w:szCs w:val="28"/>
        </w:rPr>
      </w:pPr>
      <w:r>
        <w:rPr>
          <w:rFonts w:hint="eastAsia" w:ascii="宋体" w:hAnsi="宋体"/>
          <w:b/>
          <w:szCs w:val="28"/>
        </w:rPr>
        <w:t>5.6轮毂孔打胶靠模工装</w:t>
      </w:r>
    </w:p>
    <w:p>
      <w:pPr>
        <w:ind w:firstLine="420" w:firstLineChars="200"/>
        <w:rPr>
          <w:rFonts w:ascii="宋体" w:hAnsi="宋体"/>
          <w:color w:val="000000"/>
          <w:kern w:val="58"/>
          <w:sz w:val="21"/>
          <w:szCs w:val="20"/>
        </w:rPr>
      </w:pPr>
      <w:r>
        <w:rPr>
          <w:rFonts w:hint="eastAsia" w:ascii="宋体" w:hAnsi="宋体"/>
          <w:color w:val="000000"/>
          <w:kern w:val="58"/>
          <w:sz w:val="21"/>
          <w:szCs w:val="20"/>
        </w:rPr>
        <w:t>5.6.1 概述</w:t>
      </w:r>
    </w:p>
    <w:p>
      <w:pPr>
        <w:ind w:firstLine="420" w:firstLineChars="200"/>
        <w:rPr>
          <w:rFonts w:ascii="宋体" w:hAnsi="宋体"/>
          <w:color w:val="000000"/>
          <w:kern w:val="58"/>
          <w:sz w:val="21"/>
          <w:szCs w:val="20"/>
        </w:rPr>
      </w:pPr>
      <w:r>
        <w:rPr>
          <w:rFonts w:ascii="宋体" w:hAnsi="宋体"/>
          <w:color w:val="000000"/>
          <w:kern w:val="58"/>
          <w:sz w:val="21"/>
          <w:szCs w:val="20"/>
        </w:rPr>
        <w:t>轮毂孔打胶靠模工装主要用于轮毂孔与车轴的缝隙间打胶作业，防止胶水溢出粘接在车轴或者车轮上。</w:t>
      </w:r>
    </w:p>
    <w:p>
      <w:pPr>
        <w:ind w:firstLine="420" w:firstLineChars="200"/>
        <w:rPr>
          <w:rFonts w:ascii="宋体" w:hAnsi="宋体"/>
          <w:color w:val="000000"/>
          <w:kern w:val="58"/>
          <w:sz w:val="21"/>
          <w:szCs w:val="20"/>
        </w:rPr>
      </w:pPr>
      <w:r>
        <w:rPr>
          <w:rFonts w:hint="eastAsia" w:ascii="宋体" w:hAnsi="宋体"/>
          <w:color w:val="000000"/>
          <w:kern w:val="58"/>
          <w:sz w:val="21"/>
          <w:szCs w:val="20"/>
        </w:rPr>
        <w:t>5.6.2 技术要求</w:t>
      </w:r>
    </w:p>
    <w:p>
      <w:pPr>
        <w:ind w:firstLine="420" w:firstLineChars="200"/>
        <w:rPr>
          <w:rFonts w:ascii="宋体" w:hAnsi="宋体"/>
          <w:color w:val="000000"/>
          <w:kern w:val="58"/>
          <w:sz w:val="21"/>
          <w:szCs w:val="20"/>
        </w:rPr>
      </w:pPr>
      <w:r>
        <w:rPr>
          <w:rFonts w:ascii="宋体" w:hAnsi="宋体"/>
          <w:color w:val="000000"/>
          <w:kern w:val="58"/>
          <w:sz w:val="21"/>
          <w:szCs w:val="20"/>
        </w:rPr>
        <w:t>工装由厚度为5mm的铝合金板加工而成，配两块磁铁用于将靠模吸附在车轮上，基本的技术要求参见图纸-轮毂孔打胶靠模工装图纸，最终详细的设计方案及技术参数要求通过现场实际测量在设计联络时确定。</w:t>
      </w:r>
    </w:p>
    <w:p>
      <w:pPr>
        <w:ind w:firstLine="420" w:firstLineChars="200"/>
        <w:rPr>
          <w:rFonts w:ascii="宋体" w:hAnsi="宋体"/>
          <w:kern w:val="58"/>
          <w:sz w:val="21"/>
          <w:szCs w:val="20"/>
        </w:rPr>
      </w:pPr>
      <w:r>
        <w:rPr>
          <w:rFonts w:hint="eastAsia" w:ascii="宋体" w:hAnsi="宋体"/>
          <w:kern w:val="58"/>
          <w:sz w:val="21"/>
          <w:szCs w:val="20"/>
        </w:rPr>
        <w:t>5.7转向架组装轮对定位工装</w:t>
      </w:r>
    </w:p>
    <w:p>
      <w:pPr>
        <w:ind w:firstLine="420" w:firstLineChars="200"/>
        <w:rPr>
          <w:rFonts w:ascii="宋体" w:hAnsi="宋体"/>
          <w:kern w:val="58"/>
          <w:sz w:val="21"/>
          <w:szCs w:val="20"/>
        </w:rPr>
      </w:pPr>
      <w:r>
        <w:rPr>
          <w:rFonts w:ascii="宋体" w:hAnsi="宋体"/>
          <w:kern w:val="58"/>
          <w:sz w:val="21"/>
          <w:szCs w:val="20"/>
        </w:rPr>
        <w:t>5.</w:t>
      </w:r>
      <w:r>
        <w:rPr>
          <w:rFonts w:hint="eastAsia" w:ascii="宋体" w:hAnsi="宋体"/>
          <w:kern w:val="58"/>
          <w:sz w:val="21"/>
          <w:szCs w:val="20"/>
        </w:rPr>
        <w:t>7</w:t>
      </w:r>
      <w:r>
        <w:rPr>
          <w:rFonts w:ascii="宋体" w:hAnsi="宋体"/>
          <w:kern w:val="58"/>
          <w:sz w:val="21"/>
          <w:szCs w:val="20"/>
        </w:rPr>
        <w:t>.1概述</w:t>
      </w:r>
    </w:p>
    <w:p>
      <w:pPr>
        <w:ind w:firstLine="420" w:firstLineChars="200"/>
        <w:rPr>
          <w:rFonts w:ascii="宋体" w:hAnsi="宋体"/>
          <w:kern w:val="58"/>
          <w:sz w:val="21"/>
          <w:szCs w:val="20"/>
        </w:rPr>
      </w:pPr>
      <w:r>
        <w:rPr>
          <w:rFonts w:ascii="宋体" w:hAnsi="宋体"/>
          <w:kern w:val="58"/>
          <w:sz w:val="21"/>
          <w:szCs w:val="20"/>
        </w:rPr>
        <w:t>转向架组装轮对定位工装主要用于宁波市轨道交通1号线二期电客车架修时转向架</w:t>
      </w:r>
      <w:r>
        <w:rPr>
          <w:rFonts w:hint="eastAsia" w:ascii="宋体" w:hAnsi="宋体"/>
          <w:kern w:val="58"/>
          <w:sz w:val="21"/>
          <w:szCs w:val="20"/>
        </w:rPr>
        <w:t>组装</w:t>
      </w:r>
      <w:r>
        <w:rPr>
          <w:rFonts w:ascii="宋体" w:hAnsi="宋体"/>
          <w:kern w:val="58"/>
          <w:sz w:val="21"/>
          <w:szCs w:val="20"/>
        </w:rPr>
        <w:t>作业</w:t>
      </w:r>
      <w:r>
        <w:rPr>
          <w:rFonts w:hint="eastAsia" w:ascii="宋体" w:hAnsi="宋体"/>
          <w:kern w:val="58"/>
          <w:sz w:val="21"/>
          <w:szCs w:val="20"/>
        </w:rPr>
        <w:t>时</w:t>
      </w:r>
      <w:r>
        <w:rPr>
          <w:rFonts w:ascii="宋体" w:hAnsi="宋体"/>
          <w:kern w:val="58"/>
          <w:sz w:val="21"/>
          <w:szCs w:val="20"/>
        </w:rPr>
        <w:t>两轮对的定位作业。</w:t>
      </w:r>
    </w:p>
    <w:p>
      <w:pPr>
        <w:ind w:firstLine="420" w:firstLineChars="200"/>
        <w:rPr>
          <w:rFonts w:ascii="宋体" w:hAnsi="宋体"/>
          <w:kern w:val="58"/>
          <w:sz w:val="21"/>
          <w:szCs w:val="20"/>
        </w:rPr>
      </w:pPr>
      <w:r>
        <w:rPr>
          <w:rFonts w:ascii="宋体" w:hAnsi="宋体"/>
          <w:kern w:val="58"/>
          <w:sz w:val="21"/>
          <w:szCs w:val="20"/>
        </w:rPr>
        <w:t>5.</w:t>
      </w:r>
      <w:r>
        <w:rPr>
          <w:rFonts w:hint="eastAsia" w:ascii="宋体" w:hAnsi="宋体"/>
          <w:kern w:val="58"/>
          <w:sz w:val="21"/>
          <w:szCs w:val="20"/>
        </w:rPr>
        <w:t>7</w:t>
      </w:r>
      <w:r>
        <w:rPr>
          <w:rFonts w:ascii="宋体" w:hAnsi="宋体"/>
          <w:kern w:val="58"/>
          <w:sz w:val="21"/>
          <w:szCs w:val="20"/>
        </w:rPr>
        <w:t>.2技术要求</w:t>
      </w:r>
    </w:p>
    <w:p>
      <w:pPr>
        <w:ind w:firstLine="420" w:firstLineChars="200"/>
        <w:rPr>
          <w:rFonts w:ascii="宋体" w:hAnsi="宋体"/>
          <w:kern w:val="58"/>
          <w:sz w:val="21"/>
          <w:szCs w:val="20"/>
        </w:rPr>
      </w:pPr>
      <w:r>
        <w:rPr>
          <w:rFonts w:ascii="宋体" w:hAnsi="宋体"/>
          <w:kern w:val="58"/>
          <w:sz w:val="21"/>
          <w:szCs w:val="20"/>
        </w:rPr>
        <w:t>工装主体由铝合金加工而成，顶针滑块为钢材，基本的技术要求参见转向架组装轮对定位工装图纸，最终详细的设计方案及技术参数要求通过现场实际测量</w:t>
      </w:r>
      <w:r>
        <w:rPr>
          <w:rFonts w:hint="eastAsia" w:ascii="宋体" w:hAnsi="宋体"/>
          <w:kern w:val="58"/>
          <w:sz w:val="21"/>
          <w:szCs w:val="20"/>
        </w:rPr>
        <w:t>并</w:t>
      </w:r>
      <w:r>
        <w:rPr>
          <w:rFonts w:ascii="宋体" w:hAnsi="宋体"/>
          <w:kern w:val="58"/>
          <w:sz w:val="21"/>
          <w:szCs w:val="20"/>
        </w:rPr>
        <w:t>在设计联络时确定。</w:t>
      </w:r>
    </w:p>
    <w:p>
      <w:pPr>
        <w:ind w:firstLine="482" w:firstLineChars="200"/>
        <w:rPr>
          <w:rFonts w:ascii="宋体" w:hAnsi="宋体"/>
          <w:b/>
          <w:bCs/>
        </w:rPr>
      </w:pPr>
      <w:bookmarkStart w:id="32" w:name="_Toc15218"/>
      <w:bookmarkStart w:id="33" w:name="_Toc466650422"/>
      <w:bookmarkStart w:id="34" w:name="_Toc466650977"/>
      <w:bookmarkStart w:id="35" w:name="_Toc24820"/>
      <w:r>
        <w:rPr>
          <w:rFonts w:hint="eastAsia" w:ascii="宋体" w:hAnsi="宋体"/>
          <w:b/>
          <w:bCs/>
        </w:rPr>
        <w:t>六、所有工装设计联络要求</w:t>
      </w:r>
      <w:bookmarkEnd w:id="32"/>
      <w:bookmarkEnd w:id="33"/>
      <w:bookmarkEnd w:id="34"/>
      <w:bookmarkEnd w:id="35"/>
    </w:p>
    <w:p>
      <w:pPr>
        <w:ind w:firstLine="420" w:firstLineChars="200"/>
        <w:rPr>
          <w:rFonts w:ascii="宋体" w:hAnsi="宋体"/>
          <w:color w:val="000000"/>
          <w:kern w:val="58"/>
          <w:sz w:val="21"/>
          <w:szCs w:val="20"/>
        </w:rPr>
      </w:pPr>
      <w:r>
        <w:rPr>
          <w:rFonts w:hint="eastAsia" w:ascii="宋体" w:hAnsi="宋体"/>
          <w:color w:val="000000"/>
          <w:kern w:val="58"/>
          <w:sz w:val="21"/>
          <w:szCs w:val="20"/>
        </w:rPr>
        <w:t>6.1 比选申请人应按照ISO国际质量体系程序文件中“设计控制”的要求，认真把握设计质量。</w:t>
      </w:r>
    </w:p>
    <w:p>
      <w:pPr>
        <w:ind w:firstLine="420" w:firstLineChars="200"/>
        <w:rPr>
          <w:rFonts w:ascii="宋体" w:hAnsi="宋体"/>
          <w:color w:val="000000"/>
          <w:kern w:val="58"/>
          <w:sz w:val="21"/>
          <w:szCs w:val="20"/>
        </w:rPr>
      </w:pPr>
      <w:r>
        <w:rPr>
          <w:rFonts w:hint="eastAsia" w:ascii="宋体" w:hAnsi="宋体"/>
          <w:color w:val="000000"/>
          <w:kern w:val="58"/>
          <w:sz w:val="21"/>
          <w:szCs w:val="20"/>
        </w:rPr>
        <w:t>6.2比选申请人将派出技术人员对所有工装赴招标人指定的现场进行产品设计联络。</w:t>
      </w:r>
    </w:p>
    <w:p>
      <w:pPr>
        <w:ind w:firstLine="420" w:firstLineChars="200"/>
        <w:rPr>
          <w:rFonts w:ascii="宋体" w:hAnsi="宋体"/>
          <w:color w:val="000000"/>
          <w:kern w:val="58"/>
          <w:sz w:val="21"/>
          <w:szCs w:val="20"/>
        </w:rPr>
      </w:pPr>
      <w:r>
        <w:rPr>
          <w:rFonts w:hint="eastAsia" w:ascii="宋体" w:hAnsi="宋体"/>
          <w:color w:val="000000"/>
          <w:kern w:val="58"/>
          <w:sz w:val="21"/>
          <w:szCs w:val="20"/>
        </w:rPr>
        <w:t>6.3设计联络包括现场数据测量、工装整机设计、结构组成、技术参数的确定、涂装、工装与现场各系统详细接口确认等内容。</w:t>
      </w:r>
    </w:p>
    <w:p>
      <w:pPr>
        <w:ind w:firstLine="420" w:firstLineChars="200"/>
        <w:rPr>
          <w:rFonts w:ascii="宋体" w:hAnsi="宋体"/>
          <w:color w:val="000000"/>
          <w:kern w:val="58"/>
          <w:sz w:val="21"/>
          <w:szCs w:val="20"/>
        </w:rPr>
      </w:pPr>
      <w:bookmarkStart w:id="36" w:name="_Toc28757"/>
      <w:r>
        <w:rPr>
          <w:rFonts w:hint="eastAsia" w:ascii="宋体" w:hAnsi="宋体"/>
          <w:color w:val="000000"/>
          <w:kern w:val="58"/>
          <w:sz w:val="21"/>
          <w:szCs w:val="20"/>
        </w:rPr>
        <w:t>6.4 比选申请人对设计联络提出建议并确认。</w:t>
      </w:r>
      <w:bookmarkEnd w:id="36"/>
    </w:p>
    <w:p>
      <w:pPr>
        <w:ind w:firstLine="482" w:firstLineChars="200"/>
        <w:rPr>
          <w:rFonts w:ascii="宋体" w:hAnsi="宋体"/>
          <w:b/>
          <w:bCs/>
        </w:rPr>
      </w:pPr>
      <w:bookmarkStart w:id="37" w:name="_Toc466650423"/>
      <w:bookmarkStart w:id="38" w:name="_Toc466650978"/>
      <w:bookmarkStart w:id="39" w:name="_Toc17067"/>
      <w:bookmarkStart w:id="40" w:name="_Toc465871343"/>
      <w:bookmarkStart w:id="41" w:name="_Toc16682"/>
      <w:r>
        <w:rPr>
          <w:rFonts w:hint="eastAsia" w:ascii="宋体" w:hAnsi="宋体"/>
          <w:b/>
          <w:bCs/>
        </w:rPr>
        <w:t>七、所有工装质保及售后要求</w:t>
      </w:r>
      <w:bookmarkEnd w:id="37"/>
      <w:bookmarkEnd w:id="38"/>
      <w:bookmarkEnd w:id="39"/>
      <w:bookmarkEnd w:id="40"/>
      <w:bookmarkEnd w:id="41"/>
    </w:p>
    <w:p>
      <w:pPr>
        <w:ind w:firstLine="482" w:firstLineChars="200"/>
        <w:rPr>
          <w:rFonts w:ascii="宋体" w:hAnsi="宋体"/>
          <w:b/>
          <w:bCs/>
        </w:rPr>
      </w:pPr>
      <w:r>
        <w:rPr>
          <w:rFonts w:ascii="宋体" w:hAnsi="宋体"/>
          <w:b/>
          <w:bCs/>
        </w:rPr>
        <w:t>7.1质量保证及质保期</w:t>
      </w:r>
    </w:p>
    <w:p>
      <w:pPr>
        <w:ind w:firstLine="420" w:firstLineChars="200"/>
        <w:rPr>
          <w:rFonts w:ascii="宋体" w:hAnsi="宋体"/>
          <w:color w:val="000000"/>
          <w:kern w:val="58"/>
          <w:sz w:val="21"/>
          <w:szCs w:val="20"/>
        </w:rPr>
      </w:pPr>
      <w:r>
        <w:rPr>
          <w:rFonts w:hint="eastAsia" w:ascii="宋体" w:hAnsi="宋体"/>
          <w:color w:val="000000"/>
          <w:kern w:val="58"/>
          <w:sz w:val="21"/>
          <w:szCs w:val="20"/>
        </w:rPr>
        <w:t>7.1.1比选申请人应作出工装质量保证的承诺，工装质保期为自验收合格之日起2年。比选申请人在投标文件中应对工装质保期是否延长及延长期限进行说明，连同工装质保期，一并以书面形式予以承诺。</w:t>
      </w:r>
    </w:p>
    <w:p>
      <w:pPr>
        <w:ind w:firstLine="420" w:firstLineChars="200"/>
        <w:rPr>
          <w:rFonts w:ascii="宋体" w:hAnsi="宋体"/>
          <w:color w:val="000000"/>
          <w:kern w:val="58"/>
          <w:sz w:val="21"/>
          <w:szCs w:val="20"/>
        </w:rPr>
      </w:pPr>
      <w:r>
        <w:rPr>
          <w:rFonts w:hint="eastAsia" w:ascii="宋体" w:hAnsi="宋体"/>
          <w:color w:val="000000"/>
          <w:kern w:val="58"/>
          <w:sz w:val="21"/>
          <w:szCs w:val="20"/>
        </w:rPr>
        <w:t>7.1.2质保期内在正常使用条件下出现缺陷或故障，比选申请人负责免费更换、维修和整改，被更换、整改的部分的质保期将从此时算起为2年。</w:t>
      </w:r>
    </w:p>
    <w:p>
      <w:pPr>
        <w:ind w:firstLine="420" w:firstLineChars="200"/>
        <w:rPr>
          <w:rFonts w:ascii="宋体" w:hAnsi="宋体"/>
          <w:color w:val="000000"/>
          <w:kern w:val="58"/>
          <w:sz w:val="21"/>
          <w:szCs w:val="20"/>
        </w:rPr>
      </w:pPr>
      <w:r>
        <w:rPr>
          <w:rFonts w:hint="eastAsia" w:ascii="宋体" w:hAnsi="宋体"/>
          <w:color w:val="000000"/>
          <w:kern w:val="58"/>
          <w:sz w:val="21"/>
          <w:szCs w:val="20"/>
        </w:rPr>
        <w:t>7.1.3比选申请人应提出质保期内的工作责任范围，工装如在质保期内出现质量问题，比选申请人应进行整改直至满足最终验收的要求。</w:t>
      </w:r>
    </w:p>
    <w:p>
      <w:pPr>
        <w:ind w:firstLine="482" w:firstLineChars="200"/>
        <w:rPr>
          <w:rFonts w:ascii="宋体" w:hAnsi="宋体"/>
          <w:b/>
          <w:bCs/>
        </w:rPr>
      </w:pPr>
      <w:r>
        <w:rPr>
          <w:rFonts w:ascii="宋体" w:hAnsi="宋体"/>
          <w:b/>
          <w:bCs/>
        </w:rPr>
        <w:t>7.2服务承诺</w:t>
      </w:r>
    </w:p>
    <w:p>
      <w:pPr>
        <w:ind w:firstLine="420" w:firstLineChars="200"/>
        <w:rPr>
          <w:rFonts w:ascii="宋体" w:hAnsi="宋体"/>
          <w:color w:val="000000"/>
          <w:kern w:val="58"/>
          <w:sz w:val="21"/>
          <w:szCs w:val="20"/>
        </w:rPr>
      </w:pPr>
      <w:r>
        <w:rPr>
          <w:rFonts w:hint="eastAsia" w:ascii="宋体" w:hAnsi="宋体"/>
          <w:color w:val="000000"/>
          <w:kern w:val="58"/>
          <w:sz w:val="21"/>
          <w:szCs w:val="20"/>
        </w:rPr>
        <w:t>7.2.1比选申请人在投标时提交售后服务及时性和售后服务质量的承诺。</w:t>
      </w:r>
    </w:p>
    <w:p>
      <w:pPr>
        <w:ind w:firstLine="420" w:firstLineChars="200"/>
        <w:rPr>
          <w:rFonts w:ascii="宋体" w:hAnsi="宋体"/>
          <w:color w:val="000000"/>
          <w:kern w:val="58"/>
          <w:sz w:val="21"/>
          <w:szCs w:val="20"/>
        </w:rPr>
      </w:pPr>
      <w:r>
        <w:rPr>
          <w:rFonts w:hint="eastAsia" w:ascii="宋体" w:hAnsi="宋体"/>
          <w:color w:val="000000"/>
          <w:kern w:val="58"/>
          <w:sz w:val="21"/>
          <w:szCs w:val="20"/>
        </w:rPr>
        <w:t>7.2.2在质保期内，工装出现故障时，比选申请人应在接到招标人通知后48小时内派出专业维修人员到达现场，并及时采取相应的有效维修措施解决问题、排除故障。</w:t>
      </w:r>
    </w:p>
    <w:p>
      <w:pPr>
        <w:ind w:firstLine="420" w:firstLineChars="200"/>
        <w:rPr>
          <w:rFonts w:ascii="宋体" w:hAnsi="宋体"/>
          <w:color w:val="000000"/>
          <w:kern w:val="58"/>
          <w:sz w:val="21"/>
          <w:szCs w:val="20"/>
        </w:rPr>
      </w:pPr>
      <w:r>
        <w:rPr>
          <w:rFonts w:hint="eastAsia" w:ascii="宋体" w:hAnsi="宋体"/>
          <w:color w:val="000000"/>
          <w:kern w:val="58"/>
          <w:sz w:val="21"/>
          <w:szCs w:val="20"/>
        </w:rPr>
        <w:t>7.2.3在质保期外，比选申请人在投标文件中应提供详细的工装出质保后的售后服务方案，包括维修服务方式、维修团队或维修机构的详细介绍、故障处理响应时间、质保费用、备品备件（价格不得高于工装投标时的价格）等。</w:t>
      </w:r>
    </w:p>
    <w:p>
      <w:pPr>
        <w:ind w:firstLine="482" w:firstLineChars="200"/>
        <w:rPr>
          <w:rFonts w:ascii="宋体" w:hAnsi="宋体"/>
          <w:b/>
          <w:bCs/>
        </w:rPr>
      </w:pPr>
      <w:bookmarkStart w:id="42" w:name="_Toc14757"/>
      <w:bookmarkStart w:id="43" w:name="_Toc463879629"/>
      <w:bookmarkStart w:id="44" w:name="_Toc24215"/>
      <w:bookmarkStart w:id="45" w:name="_Toc466650425"/>
      <w:bookmarkStart w:id="46" w:name="_Toc464825143"/>
      <w:bookmarkStart w:id="47" w:name="_Toc466650980"/>
      <w:bookmarkStart w:id="48" w:name="_Toc465871345"/>
      <w:bookmarkStart w:id="49" w:name="_Toc463008969"/>
      <w:bookmarkStart w:id="50" w:name="_Toc463607320"/>
      <w:r>
        <w:rPr>
          <w:rFonts w:hint="eastAsia" w:ascii="宋体" w:hAnsi="宋体"/>
          <w:b/>
          <w:bCs/>
        </w:rPr>
        <w:t>八、项目实施</w:t>
      </w:r>
      <w:bookmarkEnd w:id="42"/>
      <w:bookmarkEnd w:id="43"/>
      <w:bookmarkEnd w:id="44"/>
      <w:bookmarkEnd w:id="45"/>
      <w:bookmarkEnd w:id="46"/>
      <w:bookmarkEnd w:id="47"/>
      <w:bookmarkEnd w:id="48"/>
      <w:bookmarkEnd w:id="49"/>
      <w:bookmarkEnd w:id="50"/>
    </w:p>
    <w:p>
      <w:pPr>
        <w:ind w:firstLine="482" w:firstLineChars="200"/>
        <w:rPr>
          <w:rFonts w:ascii="宋体" w:hAnsi="宋体"/>
          <w:b/>
          <w:bCs/>
        </w:rPr>
      </w:pPr>
      <w:r>
        <w:rPr>
          <w:rFonts w:hint="eastAsia" w:ascii="宋体" w:hAnsi="宋体"/>
          <w:b/>
          <w:bCs/>
        </w:rPr>
        <w:t>8</w:t>
      </w:r>
      <w:r>
        <w:rPr>
          <w:rFonts w:ascii="宋体" w:hAnsi="宋体"/>
          <w:b/>
          <w:bCs/>
        </w:rPr>
        <w:t>.1</w:t>
      </w:r>
      <w:r>
        <w:rPr>
          <w:rFonts w:hint="eastAsia" w:ascii="宋体" w:hAnsi="宋体"/>
          <w:b/>
          <w:bCs/>
        </w:rPr>
        <w:t>项目组织机构</w:t>
      </w:r>
    </w:p>
    <w:p>
      <w:pPr>
        <w:ind w:firstLine="420" w:firstLineChars="200"/>
        <w:rPr>
          <w:rFonts w:ascii="宋体" w:hAnsi="宋体"/>
          <w:color w:val="000000"/>
          <w:kern w:val="58"/>
          <w:sz w:val="21"/>
          <w:szCs w:val="20"/>
        </w:rPr>
      </w:pPr>
      <w:r>
        <w:rPr>
          <w:rFonts w:hint="eastAsia" w:ascii="宋体" w:hAnsi="宋体"/>
          <w:color w:val="000000"/>
          <w:kern w:val="58"/>
          <w:sz w:val="21"/>
          <w:szCs w:val="20"/>
        </w:rPr>
        <w:t>8.1.1比选申请人应根据本项目的具体情况，成立相应的组织机构，配备固定的人员、制定项目计划，并服从招标人的管理，使项目得以顺利实施。比选申请人应在投标文件中详细说明。</w:t>
      </w:r>
    </w:p>
    <w:p>
      <w:pPr>
        <w:ind w:firstLine="420" w:firstLineChars="200"/>
        <w:rPr>
          <w:rFonts w:ascii="宋体" w:hAnsi="宋体"/>
          <w:color w:val="000000"/>
          <w:kern w:val="58"/>
          <w:sz w:val="21"/>
          <w:szCs w:val="20"/>
        </w:rPr>
      </w:pPr>
      <w:r>
        <w:rPr>
          <w:rFonts w:hint="eastAsia" w:ascii="宋体" w:hAnsi="宋体"/>
          <w:color w:val="000000"/>
          <w:kern w:val="58"/>
          <w:sz w:val="21"/>
          <w:szCs w:val="20"/>
        </w:rPr>
        <w:t>8.1.2项目负责人1名，比选申请人应在投标文件中提供其具有类似项目管理经验的相关证明材料复印件。</w:t>
      </w:r>
    </w:p>
    <w:p>
      <w:pPr>
        <w:ind w:firstLine="420" w:firstLineChars="200"/>
        <w:rPr>
          <w:rFonts w:ascii="宋体" w:hAnsi="宋体"/>
          <w:color w:val="000000"/>
          <w:kern w:val="58"/>
          <w:sz w:val="21"/>
          <w:szCs w:val="20"/>
        </w:rPr>
      </w:pPr>
      <w:r>
        <w:rPr>
          <w:rFonts w:hint="eastAsia" w:ascii="宋体" w:hAnsi="宋体"/>
          <w:color w:val="000000"/>
          <w:kern w:val="58"/>
          <w:sz w:val="21"/>
          <w:szCs w:val="20"/>
        </w:rPr>
        <w:t>8.1.3比选申请人在合同生效后，设计联络会议前向</w:t>
      </w:r>
      <w:bookmarkStart w:id="64" w:name="_GoBack"/>
      <w:r>
        <w:rPr>
          <w:rFonts w:hint="eastAsia" w:ascii="宋体" w:hAnsi="宋体"/>
          <w:color w:val="000000"/>
          <w:kern w:val="58"/>
          <w:sz w:val="21"/>
          <w:szCs w:val="20"/>
        </w:rPr>
        <w:t>招标人</w:t>
      </w:r>
      <w:bookmarkEnd w:id="64"/>
      <w:r>
        <w:rPr>
          <w:rFonts w:hint="eastAsia" w:ascii="宋体" w:hAnsi="宋体"/>
          <w:color w:val="000000"/>
          <w:kern w:val="58"/>
          <w:sz w:val="21"/>
          <w:szCs w:val="20"/>
        </w:rPr>
        <w:t>提交项目管理策划（包括项目管理计划）建议，包括但不限于以下信息：</w:t>
      </w:r>
    </w:p>
    <w:p>
      <w:pPr>
        <w:ind w:firstLine="420" w:firstLineChars="200"/>
        <w:rPr>
          <w:rFonts w:ascii="宋体" w:hAnsi="宋体"/>
          <w:color w:val="000000"/>
          <w:kern w:val="58"/>
          <w:sz w:val="21"/>
          <w:szCs w:val="20"/>
        </w:rPr>
      </w:pPr>
      <w:r>
        <w:rPr>
          <w:rFonts w:hint="eastAsia" w:ascii="宋体" w:hAnsi="宋体"/>
          <w:color w:val="000000"/>
          <w:kern w:val="58"/>
          <w:sz w:val="21"/>
          <w:szCs w:val="20"/>
        </w:rPr>
        <w:t>8.1.3.1图表展示比选申请人项目管理的详细组织架构，职员姓名，职务，地点，专职及职员关系，要清楚展示将不同组别联系起来的个人及责任方向。</w:t>
      </w:r>
    </w:p>
    <w:p>
      <w:pPr>
        <w:ind w:firstLine="420" w:firstLineChars="200"/>
        <w:rPr>
          <w:rFonts w:ascii="宋体" w:hAnsi="宋体"/>
          <w:color w:val="000000"/>
          <w:kern w:val="58"/>
          <w:sz w:val="21"/>
          <w:szCs w:val="20"/>
        </w:rPr>
      </w:pPr>
      <w:r>
        <w:rPr>
          <w:rFonts w:hint="eastAsia" w:ascii="宋体" w:hAnsi="宋体"/>
          <w:color w:val="000000"/>
          <w:kern w:val="58"/>
          <w:sz w:val="21"/>
          <w:szCs w:val="20"/>
        </w:rPr>
        <w:t>8.1.3.2如果没有特殊情况，本项目负责人要专职服务于该项目，由任职开始，至合同执行完止。</w:t>
      </w:r>
    </w:p>
    <w:p>
      <w:pPr>
        <w:ind w:firstLine="420" w:firstLineChars="200"/>
        <w:rPr>
          <w:rFonts w:ascii="宋体" w:hAnsi="宋体"/>
          <w:color w:val="000000"/>
          <w:kern w:val="58"/>
          <w:sz w:val="21"/>
          <w:szCs w:val="20"/>
        </w:rPr>
      </w:pPr>
      <w:r>
        <w:rPr>
          <w:rFonts w:hint="eastAsia" w:ascii="宋体" w:hAnsi="宋体"/>
          <w:color w:val="000000"/>
          <w:kern w:val="58"/>
          <w:sz w:val="21"/>
          <w:szCs w:val="20"/>
        </w:rPr>
        <w:t>8.1.3.3对于比选申请人执行该项目的雇员中渎职、不胜任或玩忽职守的人员，招标人将通知比选申请人，比选申请人应立即改正。如果拒不改正，招标人有权要求比选申请人更换相关人员。</w:t>
      </w:r>
    </w:p>
    <w:p>
      <w:pPr>
        <w:ind w:firstLine="482" w:firstLineChars="200"/>
        <w:rPr>
          <w:rFonts w:ascii="宋体" w:hAnsi="宋体"/>
          <w:b/>
          <w:bCs/>
        </w:rPr>
      </w:pPr>
      <w:r>
        <w:rPr>
          <w:rFonts w:hint="eastAsia" w:ascii="宋体" w:hAnsi="宋体"/>
          <w:b/>
          <w:bCs/>
        </w:rPr>
        <w:t>8</w:t>
      </w:r>
      <w:r>
        <w:rPr>
          <w:rFonts w:ascii="宋体" w:hAnsi="宋体"/>
          <w:b/>
          <w:bCs/>
        </w:rPr>
        <w:t>.2项目实施</w:t>
      </w:r>
    </w:p>
    <w:p>
      <w:pPr>
        <w:ind w:firstLine="420" w:firstLineChars="200"/>
        <w:rPr>
          <w:rFonts w:ascii="宋体" w:hAnsi="宋体"/>
          <w:color w:val="000000"/>
          <w:kern w:val="58"/>
          <w:sz w:val="21"/>
          <w:szCs w:val="20"/>
        </w:rPr>
      </w:pPr>
      <w:r>
        <w:rPr>
          <w:rFonts w:hint="eastAsia" w:ascii="宋体" w:hAnsi="宋体"/>
          <w:color w:val="000000"/>
          <w:kern w:val="58"/>
          <w:sz w:val="21"/>
          <w:szCs w:val="20"/>
        </w:rPr>
        <w:t>8.2.1比选申请人须结合各工装的供货周期等实际情况，编制工装从设计、设计联络、首件确认、制造、运输和验收的整个周期的进度计划，并提交工装执行进度表。</w:t>
      </w:r>
    </w:p>
    <w:p>
      <w:pPr>
        <w:ind w:firstLine="420" w:firstLineChars="200"/>
        <w:rPr>
          <w:rFonts w:ascii="宋体" w:hAnsi="宋体"/>
          <w:color w:val="000000"/>
          <w:kern w:val="58"/>
          <w:sz w:val="21"/>
          <w:szCs w:val="20"/>
        </w:rPr>
      </w:pPr>
      <w:r>
        <w:rPr>
          <w:rFonts w:hint="eastAsia" w:ascii="宋体" w:hAnsi="宋体"/>
          <w:color w:val="000000"/>
          <w:kern w:val="58"/>
          <w:sz w:val="21"/>
          <w:szCs w:val="20"/>
        </w:rPr>
        <w:t>8.2.2比选申请人应按照技术规格书要求，倒排项目执行计划，按时完成工装设计联络、首件确认、验收和工装移交工作。</w:t>
      </w:r>
    </w:p>
    <w:p>
      <w:pPr>
        <w:ind w:firstLine="482" w:firstLineChars="200"/>
        <w:rPr>
          <w:rFonts w:ascii="宋体" w:hAnsi="宋体"/>
          <w:b/>
          <w:bCs/>
        </w:rPr>
      </w:pPr>
      <w:r>
        <w:rPr>
          <w:rFonts w:hint="eastAsia" w:ascii="宋体" w:hAnsi="宋体"/>
          <w:b/>
          <w:bCs/>
        </w:rPr>
        <w:t>8</w:t>
      </w:r>
      <w:r>
        <w:rPr>
          <w:rFonts w:ascii="宋体" w:hAnsi="宋体"/>
          <w:b/>
          <w:bCs/>
        </w:rPr>
        <w:t>.3</w:t>
      </w:r>
      <w:r>
        <w:rPr>
          <w:rFonts w:hint="eastAsia" w:ascii="宋体" w:hAnsi="宋体"/>
          <w:b/>
          <w:bCs/>
        </w:rPr>
        <w:t>制造过程的工厂检测</w:t>
      </w:r>
    </w:p>
    <w:p>
      <w:pPr>
        <w:ind w:firstLine="420" w:firstLineChars="200"/>
        <w:rPr>
          <w:rFonts w:ascii="宋体" w:hAnsi="宋体"/>
          <w:color w:val="000000"/>
          <w:kern w:val="58"/>
          <w:sz w:val="21"/>
          <w:szCs w:val="20"/>
        </w:rPr>
      </w:pPr>
      <w:r>
        <w:rPr>
          <w:rFonts w:hint="eastAsia" w:ascii="宋体" w:hAnsi="宋体"/>
          <w:color w:val="000000"/>
          <w:kern w:val="58"/>
          <w:sz w:val="21"/>
          <w:szCs w:val="20"/>
        </w:rPr>
        <w:t>8.3.1比选申请人对提供的工装在其制造、组装过程和外购零部件采购中，应认真履行制造过程的产品质量检验。工装制造过程的产品质量检验，含工厂检测(制造厂对零部件制造、部件组装的合格性测试)。</w:t>
      </w:r>
    </w:p>
    <w:p>
      <w:pPr>
        <w:ind w:firstLine="420" w:firstLineChars="200"/>
        <w:rPr>
          <w:rFonts w:ascii="宋体" w:hAnsi="宋体"/>
          <w:color w:val="000000"/>
          <w:kern w:val="58"/>
          <w:sz w:val="21"/>
          <w:szCs w:val="20"/>
        </w:rPr>
      </w:pPr>
      <w:r>
        <w:rPr>
          <w:rFonts w:hint="eastAsia" w:ascii="宋体" w:hAnsi="宋体"/>
          <w:color w:val="000000"/>
          <w:kern w:val="58"/>
          <w:sz w:val="21"/>
          <w:szCs w:val="20"/>
        </w:rPr>
        <w:t>8.3.2比选申请人在招标人所在地发生的所有费用由比选申请人自行负责。</w:t>
      </w:r>
    </w:p>
    <w:p>
      <w:pPr>
        <w:ind w:firstLine="482" w:firstLineChars="200"/>
        <w:rPr>
          <w:rFonts w:ascii="宋体" w:hAnsi="宋体"/>
          <w:b/>
          <w:bCs/>
        </w:rPr>
      </w:pPr>
      <w:r>
        <w:rPr>
          <w:rFonts w:hint="eastAsia" w:ascii="宋体" w:hAnsi="宋体"/>
          <w:b/>
          <w:bCs/>
        </w:rPr>
        <w:t>8</w:t>
      </w:r>
      <w:r>
        <w:rPr>
          <w:rFonts w:ascii="宋体" w:hAnsi="宋体"/>
          <w:b/>
          <w:bCs/>
        </w:rPr>
        <w:t>.4工装</w:t>
      </w:r>
      <w:r>
        <w:rPr>
          <w:rFonts w:hint="eastAsia" w:ascii="宋体" w:hAnsi="宋体"/>
          <w:b/>
          <w:bCs/>
        </w:rPr>
        <w:t>首件确认</w:t>
      </w:r>
    </w:p>
    <w:p>
      <w:pPr>
        <w:ind w:firstLine="420" w:firstLineChars="200"/>
        <w:rPr>
          <w:rFonts w:ascii="宋体" w:hAnsi="宋体"/>
          <w:color w:val="000000"/>
          <w:kern w:val="58"/>
          <w:sz w:val="21"/>
          <w:szCs w:val="20"/>
        </w:rPr>
      </w:pPr>
      <w:r>
        <w:rPr>
          <w:rFonts w:hint="eastAsia" w:ascii="宋体" w:hAnsi="宋体"/>
          <w:color w:val="000000"/>
          <w:kern w:val="58"/>
          <w:sz w:val="21"/>
          <w:szCs w:val="20"/>
        </w:rPr>
        <w:t>所有工装的首件确认：比选申请人按照“技术规格书”、设计联络确定的参数进行首件试制，试制并工厂检测完成后将工装运送到招标人指定的地点进行首件确认。若首件不满足招标人现场使用要求，比选申请人应修改设计直至满足招标人需求。首件确认后双方签字确认，比选申请人可批量生产工装。</w:t>
      </w:r>
    </w:p>
    <w:p>
      <w:pPr>
        <w:ind w:firstLine="482" w:firstLineChars="200"/>
        <w:rPr>
          <w:rFonts w:ascii="宋体" w:hAnsi="宋体"/>
          <w:b/>
          <w:bCs/>
        </w:rPr>
      </w:pPr>
      <w:r>
        <w:rPr>
          <w:rFonts w:hint="eastAsia" w:ascii="宋体" w:hAnsi="宋体"/>
          <w:b/>
          <w:bCs/>
        </w:rPr>
        <w:t>8</w:t>
      </w:r>
      <w:r>
        <w:rPr>
          <w:rFonts w:ascii="宋体" w:hAnsi="宋体"/>
          <w:b/>
          <w:bCs/>
        </w:rPr>
        <w:t>.</w:t>
      </w:r>
      <w:r>
        <w:rPr>
          <w:rFonts w:hint="eastAsia" w:ascii="宋体" w:hAnsi="宋体"/>
          <w:b/>
          <w:bCs/>
        </w:rPr>
        <w:t>5</w:t>
      </w:r>
      <w:r>
        <w:rPr>
          <w:rFonts w:ascii="宋体" w:hAnsi="宋体"/>
          <w:b/>
          <w:bCs/>
        </w:rPr>
        <w:t>工装</w:t>
      </w:r>
      <w:r>
        <w:rPr>
          <w:rFonts w:hint="eastAsia" w:ascii="宋体" w:hAnsi="宋体"/>
          <w:b/>
          <w:bCs/>
        </w:rPr>
        <w:t>的</w:t>
      </w:r>
      <w:r>
        <w:rPr>
          <w:rFonts w:ascii="宋体" w:hAnsi="宋体"/>
          <w:b/>
          <w:bCs/>
        </w:rPr>
        <w:t>验收</w:t>
      </w:r>
    </w:p>
    <w:p>
      <w:pPr>
        <w:ind w:firstLine="420" w:firstLineChars="200"/>
        <w:rPr>
          <w:rFonts w:ascii="宋体" w:hAnsi="宋体"/>
          <w:color w:val="000000"/>
          <w:kern w:val="58"/>
          <w:sz w:val="21"/>
          <w:szCs w:val="20"/>
        </w:rPr>
      </w:pPr>
      <w:r>
        <w:rPr>
          <w:rFonts w:hint="eastAsia" w:ascii="宋体" w:hAnsi="宋体"/>
          <w:color w:val="000000"/>
          <w:kern w:val="58"/>
          <w:sz w:val="21"/>
          <w:szCs w:val="20"/>
        </w:rPr>
        <w:t>8.5.1比选申请人所供所有工装运抵招标人场地后，招标人进行到货检查。检查至少包括满足合同对包装的要求、外观良好未受损、数量和名称与合同要求的货物清单无误。如验收时出现产品数量、质量问题，由比选申请人负责退换。</w:t>
      </w:r>
    </w:p>
    <w:p>
      <w:pPr>
        <w:ind w:firstLine="420" w:firstLineChars="200"/>
        <w:rPr>
          <w:rFonts w:ascii="宋体" w:hAnsi="宋体"/>
          <w:color w:val="000000"/>
          <w:kern w:val="58"/>
          <w:sz w:val="21"/>
          <w:szCs w:val="20"/>
        </w:rPr>
      </w:pPr>
      <w:r>
        <w:rPr>
          <w:rFonts w:hint="eastAsia" w:ascii="宋体" w:hAnsi="宋体"/>
          <w:color w:val="000000"/>
          <w:kern w:val="58"/>
          <w:sz w:val="21"/>
          <w:szCs w:val="20"/>
        </w:rPr>
        <w:t>8.5.2招标人按“技术规格书”、设计联络确定的参数和相关标准，进行工装的验收。验收内容包括：工装材质、结构、焊接质量、涂装质量、工装尺寸检查、试用试装等。验收通过后，双方签字确认，工装进入质保期；否则，比选申请人须重新对工装进行整改，再进行工装验收。</w:t>
      </w:r>
    </w:p>
    <w:p>
      <w:pPr>
        <w:ind w:firstLine="482" w:firstLineChars="200"/>
        <w:rPr>
          <w:rFonts w:ascii="宋体" w:hAnsi="宋体"/>
          <w:b/>
          <w:bCs/>
        </w:rPr>
      </w:pPr>
      <w:bookmarkStart w:id="51" w:name="_Toc465871346"/>
      <w:bookmarkStart w:id="52" w:name="_Toc464825144"/>
      <w:bookmarkStart w:id="53" w:name="_Toc10201"/>
      <w:bookmarkStart w:id="54" w:name="_Toc466650426"/>
      <w:bookmarkStart w:id="55" w:name="_Toc463879630"/>
      <w:bookmarkStart w:id="56" w:name="_Toc463008970"/>
      <w:bookmarkStart w:id="57" w:name="_Toc463607321"/>
      <w:bookmarkStart w:id="58" w:name="_Toc30890"/>
      <w:bookmarkStart w:id="59" w:name="_Toc466650981"/>
      <w:r>
        <w:rPr>
          <w:rFonts w:hint="eastAsia" w:ascii="宋体" w:hAnsi="宋体"/>
          <w:b/>
          <w:bCs/>
        </w:rPr>
        <w:t>九、交货要求</w:t>
      </w:r>
      <w:bookmarkEnd w:id="51"/>
      <w:bookmarkEnd w:id="52"/>
      <w:bookmarkEnd w:id="53"/>
      <w:bookmarkEnd w:id="54"/>
      <w:bookmarkEnd w:id="55"/>
      <w:bookmarkEnd w:id="56"/>
      <w:bookmarkEnd w:id="57"/>
      <w:bookmarkEnd w:id="58"/>
      <w:bookmarkEnd w:id="59"/>
    </w:p>
    <w:p>
      <w:pPr>
        <w:ind w:firstLine="420" w:firstLineChars="200"/>
        <w:rPr>
          <w:rFonts w:ascii="宋体" w:hAnsi="宋体"/>
          <w:color w:val="000000"/>
          <w:kern w:val="58"/>
          <w:sz w:val="21"/>
          <w:szCs w:val="20"/>
        </w:rPr>
      </w:pPr>
      <w:r>
        <w:rPr>
          <w:rFonts w:hint="eastAsia" w:ascii="宋体" w:hAnsi="宋体"/>
          <w:color w:val="000000"/>
          <w:kern w:val="58"/>
          <w:sz w:val="21"/>
          <w:szCs w:val="20"/>
        </w:rPr>
        <w:t>9.1供货方式：全部工装由比选申请人运送到天童庄车辆段或招标人指定地点。</w:t>
      </w:r>
    </w:p>
    <w:p>
      <w:pPr>
        <w:ind w:firstLine="420" w:firstLineChars="200"/>
        <w:rPr>
          <w:rFonts w:ascii="宋体" w:hAnsi="宋体"/>
          <w:color w:val="000000"/>
          <w:kern w:val="58"/>
          <w:sz w:val="21"/>
          <w:szCs w:val="20"/>
        </w:rPr>
      </w:pPr>
      <w:r>
        <w:rPr>
          <w:rFonts w:hint="eastAsia" w:ascii="宋体" w:hAnsi="宋体"/>
          <w:color w:val="000000"/>
          <w:kern w:val="58"/>
          <w:sz w:val="21"/>
          <w:szCs w:val="20"/>
        </w:rPr>
        <w:t>9.2交货周期：自合同签订之日起2个月内工装制造完毕交付招标人。</w:t>
      </w:r>
    </w:p>
    <w:p>
      <w:pPr>
        <w:ind w:firstLine="420" w:firstLineChars="200"/>
        <w:rPr>
          <w:rFonts w:ascii="宋体" w:hAnsi="宋体"/>
          <w:color w:val="000000"/>
          <w:kern w:val="58"/>
          <w:sz w:val="21"/>
          <w:szCs w:val="20"/>
        </w:rPr>
      </w:pPr>
      <w:r>
        <w:rPr>
          <w:rFonts w:hint="eastAsia" w:ascii="宋体" w:hAnsi="宋体"/>
          <w:color w:val="000000"/>
          <w:kern w:val="58"/>
          <w:sz w:val="21"/>
          <w:szCs w:val="20"/>
        </w:rPr>
        <w:t>9.3提交资料</w:t>
      </w:r>
    </w:p>
    <w:p>
      <w:pPr>
        <w:ind w:firstLine="420" w:firstLineChars="200"/>
        <w:rPr>
          <w:rFonts w:ascii="宋体" w:hAnsi="宋体"/>
          <w:color w:val="000000"/>
          <w:kern w:val="58"/>
          <w:sz w:val="21"/>
          <w:szCs w:val="20"/>
        </w:rPr>
      </w:pPr>
      <w:r>
        <w:rPr>
          <w:rFonts w:hint="eastAsia" w:ascii="宋体" w:hAnsi="宋体"/>
          <w:color w:val="000000"/>
          <w:kern w:val="58"/>
          <w:sz w:val="21"/>
          <w:szCs w:val="20"/>
        </w:rPr>
        <w:t>9.3.1合同生效后提供设计资料供双方确认。</w:t>
      </w:r>
    </w:p>
    <w:p>
      <w:pPr>
        <w:ind w:firstLine="420" w:firstLineChars="200"/>
        <w:rPr>
          <w:rFonts w:ascii="宋体" w:hAnsi="宋体"/>
          <w:color w:val="000000"/>
          <w:kern w:val="58"/>
          <w:sz w:val="21"/>
          <w:szCs w:val="20"/>
        </w:rPr>
      </w:pPr>
      <w:r>
        <w:rPr>
          <w:rFonts w:hint="eastAsia" w:ascii="宋体" w:hAnsi="宋体"/>
          <w:color w:val="000000"/>
          <w:kern w:val="58"/>
          <w:sz w:val="21"/>
          <w:szCs w:val="20"/>
        </w:rPr>
        <w:t>9.3.2比选申请人应在供货时提供如下技术资料，所有资料需提供纸质和电子档文件（包括但不限于）：</w:t>
      </w:r>
    </w:p>
    <w:p>
      <w:pPr>
        <w:ind w:firstLine="420" w:firstLineChars="200"/>
        <w:rPr>
          <w:rFonts w:ascii="宋体" w:hAnsi="宋体"/>
          <w:color w:val="000000"/>
          <w:kern w:val="58"/>
          <w:sz w:val="21"/>
          <w:szCs w:val="20"/>
        </w:rPr>
      </w:pPr>
      <w:r>
        <w:rPr>
          <w:rFonts w:hint="eastAsia" w:ascii="宋体" w:hAnsi="宋体"/>
          <w:color w:val="000000"/>
          <w:kern w:val="58"/>
          <w:sz w:val="21"/>
          <w:szCs w:val="20"/>
        </w:rPr>
        <w:t>工装总装配图和主要部件结构图               3份</w:t>
      </w:r>
    </w:p>
    <w:p>
      <w:pPr>
        <w:ind w:firstLine="420" w:firstLineChars="200"/>
        <w:rPr>
          <w:rFonts w:ascii="宋体" w:hAnsi="宋体"/>
          <w:color w:val="000000"/>
          <w:kern w:val="58"/>
          <w:sz w:val="21"/>
          <w:szCs w:val="20"/>
        </w:rPr>
      </w:pPr>
      <w:r>
        <w:rPr>
          <w:rFonts w:hint="eastAsia" w:ascii="宋体" w:hAnsi="宋体"/>
          <w:color w:val="000000"/>
          <w:kern w:val="58"/>
          <w:sz w:val="21"/>
          <w:szCs w:val="20"/>
        </w:rPr>
        <w:t>工装生产制造过程质量监督检验证明           1份</w:t>
      </w:r>
    </w:p>
    <w:p>
      <w:pPr>
        <w:ind w:firstLine="420" w:firstLineChars="200"/>
        <w:rPr>
          <w:rFonts w:ascii="宋体" w:hAnsi="宋体"/>
          <w:color w:val="000000"/>
          <w:kern w:val="58"/>
          <w:sz w:val="21"/>
          <w:szCs w:val="20"/>
        </w:rPr>
      </w:pPr>
      <w:r>
        <w:rPr>
          <w:rFonts w:hint="eastAsia" w:ascii="宋体" w:hAnsi="宋体"/>
          <w:color w:val="000000"/>
          <w:kern w:val="58"/>
          <w:sz w:val="21"/>
          <w:szCs w:val="20"/>
        </w:rPr>
        <w:t>工装在研发和制造过程中参考的重要标准       3份</w:t>
      </w:r>
    </w:p>
    <w:p>
      <w:pPr>
        <w:ind w:firstLine="420" w:firstLineChars="200"/>
        <w:rPr>
          <w:rFonts w:ascii="宋体" w:hAnsi="宋体"/>
          <w:color w:val="000000"/>
          <w:kern w:val="58"/>
          <w:sz w:val="21"/>
          <w:szCs w:val="20"/>
        </w:rPr>
      </w:pPr>
      <w:r>
        <w:rPr>
          <w:rFonts w:hint="eastAsia" w:ascii="宋体" w:hAnsi="宋体"/>
          <w:color w:val="000000"/>
          <w:kern w:val="58"/>
          <w:sz w:val="21"/>
          <w:szCs w:val="20"/>
        </w:rPr>
        <w:t>9.3.3提供重要外购部件产品合格证。</w:t>
      </w:r>
    </w:p>
    <w:p>
      <w:pPr>
        <w:ind w:firstLine="420" w:firstLineChars="200"/>
        <w:rPr>
          <w:rFonts w:ascii="宋体" w:hAnsi="宋体"/>
          <w:color w:val="000000"/>
          <w:kern w:val="58"/>
          <w:sz w:val="21"/>
          <w:szCs w:val="20"/>
        </w:rPr>
      </w:pPr>
      <w:r>
        <w:rPr>
          <w:rFonts w:hint="eastAsia" w:ascii="宋体" w:hAnsi="宋体"/>
          <w:color w:val="000000"/>
          <w:kern w:val="58"/>
          <w:sz w:val="21"/>
          <w:szCs w:val="20"/>
        </w:rPr>
        <w:t>9.3.4比选申请人应提供出厂质检合格证，其验收应按合同验收标准、产品说明书及有关技术文件、质量标准进行。</w:t>
      </w:r>
    </w:p>
    <w:p>
      <w:pPr>
        <w:ind w:firstLine="482" w:firstLineChars="200"/>
        <w:rPr>
          <w:rFonts w:ascii="宋体" w:hAnsi="宋体"/>
          <w:b/>
          <w:bCs/>
        </w:rPr>
      </w:pPr>
      <w:r>
        <w:rPr>
          <w:rFonts w:hint="eastAsia" w:ascii="宋体" w:hAnsi="宋体"/>
          <w:b/>
          <w:bCs/>
        </w:rPr>
        <w:t>十、包装要求及运输方式</w:t>
      </w:r>
    </w:p>
    <w:p>
      <w:pPr>
        <w:ind w:firstLine="420" w:firstLineChars="200"/>
        <w:rPr>
          <w:rFonts w:ascii="宋体" w:hAnsi="宋体"/>
          <w:color w:val="000000"/>
          <w:kern w:val="58"/>
          <w:sz w:val="21"/>
          <w:szCs w:val="20"/>
        </w:rPr>
      </w:pPr>
      <w:r>
        <w:rPr>
          <w:rFonts w:hint="eastAsia" w:ascii="宋体" w:hAnsi="宋体"/>
          <w:color w:val="000000"/>
          <w:kern w:val="58"/>
          <w:sz w:val="21"/>
          <w:szCs w:val="20"/>
        </w:rPr>
        <w:t>10.1比选申请人应负责货物的包装，必须结合该工装的特点给予足够的保护，在包装、运输和仓储中满足（不限于）以下要求：</w:t>
      </w:r>
    </w:p>
    <w:p>
      <w:pPr>
        <w:ind w:firstLine="420" w:firstLineChars="200"/>
        <w:rPr>
          <w:rFonts w:ascii="宋体" w:hAnsi="宋体"/>
          <w:color w:val="000000"/>
          <w:kern w:val="58"/>
          <w:sz w:val="21"/>
          <w:szCs w:val="20"/>
        </w:rPr>
      </w:pPr>
      <w:r>
        <w:rPr>
          <w:rFonts w:hint="eastAsia" w:ascii="宋体" w:hAnsi="宋体"/>
          <w:color w:val="000000"/>
          <w:kern w:val="58"/>
          <w:sz w:val="21"/>
          <w:szCs w:val="20"/>
        </w:rPr>
        <w:t>10.1.1比选申请人应说明工装的包装、运输等方式。分类包装，比选申请人应负责合同货物的包装、装箱及发货，包装应按交货后不拆箱存放一年的包装条件进行必要的保护措施。在宁波无空调、无除湿货物的仓库储存条件下放置1年不应发生损坏或锈蚀。所有的安全说明书及安全标志须用国际通用符号标示，或用中文字标示，在工装装运时所有安全标志由比选申请人贴好且所有文字性资料和标示均需中文标示(或中、英两种文字标示)。</w:t>
      </w:r>
    </w:p>
    <w:p>
      <w:pPr>
        <w:ind w:firstLine="420" w:firstLineChars="200"/>
        <w:rPr>
          <w:rFonts w:ascii="宋体" w:hAnsi="宋体"/>
          <w:color w:val="000000"/>
          <w:kern w:val="58"/>
          <w:sz w:val="21"/>
          <w:szCs w:val="20"/>
        </w:rPr>
      </w:pPr>
      <w:r>
        <w:rPr>
          <w:rFonts w:hint="eastAsia" w:ascii="宋体" w:hAnsi="宋体"/>
          <w:color w:val="000000"/>
          <w:kern w:val="58"/>
          <w:sz w:val="21"/>
          <w:szCs w:val="20"/>
        </w:rPr>
        <w:t>10.1.2比选申请人出具符合规定的装箱单（包括但不限于使用中文，加盖公司章等），固定在每个箱体的内侧上；装箱单第2个副本应装在防水信封里，放在每个箱体的外侧加以固定保护，以备统计。</w:t>
      </w:r>
    </w:p>
    <w:p>
      <w:pPr>
        <w:ind w:firstLine="420" w:firstLineChars="200"/>
        <w:rPr>
          <w:rFonts w:ascii="宋体" w:hAnsi="宋体"/>
          <w:color w:val="000000"/>
          <w:kern w:val="58"/>
          <w:sz w:val="21"/>
          <w:szCs w:val="20"/>
        </w:rPr>
      </w:pPr>
      <w:r>
        <w:rPr>
          <w:rFonts w:hint="eastAsia" w:ascii="宋体" w:hAnsi="宋体"/>
          <w:color w:val="000000"/>
          <w:kern w:val="58"/>
          <w:sz w:val="21"/>
          <w:szCs w:val="20"/>
        </w:rPr>
        <w:t>10.1.3产品合格证和检测试验报告、图纸、维护维修手册等技术文件应与装箱单一同发货。重要的文件应做好密封防水处理。</w:t>
      </w:r>
    </w:p>
    <w:p>
      <w:pPr>
        <w:ind w:firstLine="420" w:firstLineChars="200"/>
        <w:rPr>
          <w:rFonts w:ascii="宋体" w:hAnsi="宋体"/>
          <w:color w:val="000000"/>
          <w:kern w:val="58"/>
          <w:sz w:val="21"/>
          <w:szCs w:val="20"/>
        </w:rPr>
      </w:pPr>
      <w:r>
        <w:rPr>
          <w:rFonts w:hint="eastAsia" w:ascii="宋体" w:hAnsi="宋体"/>
          <w:color w:val="000000"/>
          <w:kern w:val="58"/>
          <w:sz w:val="21"/>
          <w:szCs w:val="20"/>
        </w:rPr>
        <w:t>10.1.4比选申请人负责所有货物的包装，包装应满足所在国家及中国有关包装的标准要求。</w:t>
      </w:r>
    </w:p>
    <w:p>
      <w:pPr>
        <w:ind w:firstLine="420" w:firstLineChars="200"/>
        <w:rPr>
          <w:rFonts w:ascii="宋体" w:hAnsi="宋体"/>
          <w:color w:val="000000"/>
          <w:kern w:val="58"/>
          <w:sz w:val="21"/>
          <w:szCs w:val="20"/>
        </w:rPr>
      </w:pPr>
      <w:r>
        <w:rPr>
          <w:rFonts w:hint="eastAsia" w:ascii="宋体" w:hAnsi="宋体"/>
          <w:color w:val="000000"/>
          <w:kern w:val="58"/>
          <w:sz w:val="21"/>
          <w:szCs w:val="20"/>
        </w:rPr>
        <w:t>10.1.5比选申请人负责提供所有货物的包装应保证货物的安全，在运输过程中不受风雨、海水的侵蚀，具有足够的牢固性，防止货物损坏和丢失。</w:t>
      </w:r>
    </w:p>
    <w:p>
      <w:pPr>
        <w:ind w:firstLine="420" w:firstLineChars="200"/>
        <w:rPr>
          <w:rFonts w:ascii="宋体" w:hAnsi="宋体"/>
          <w:color w:val="000000"/>
          <w:kern w:val="58"/>
          <w:sz w:val="21"/>
          <w:szCs w:val="20"/>
        </w:rPr>
      </w:pPr>
      <w:r>
        <w:rPr>
          <w:rFonts w:hint="eastAsia" w:ascii="宋体" w:hAnsi="宋体"/>
          <w:color w:val="000000"/>
          <w:kern w:val="58"/>
          <w:sz w:val="21"/>
          <w:szCs w:val="20"/>
        </w:rPr>
        <w:t>10.1.6对于包装不当造成货物的损坏应进行无条件更换，由此造成的项目延误，招标人有进行索赔的权利。</w:t>
      </w:r>
    </w:p>
    <w:p>
      <w:pPr>
        <w:ind w:firstLine="420" w:firstLineChars="200"/>
        <w:rPr>
          <w:rFonts w:ascii="宋体" w:hAnsi="宋体"/>
          <w:color w:val="000000"/>
          <w:kern w:val="58"/>
          <w:sz w:val="21"/>
          <w:szCs w:val="20"/>
        </w:rPr>
      </w:pPr>
      <w:r>
        <w:rPr>
          <w:rFonts w:hint="eastAsia" w:ascii="宋体" w:hAnsi="宋体"/>
          <w:color w:val="000000"/>
          <w:kern w:val="58"/>
          <w:sz w:val="21"/>
          <w:szCs w:val="20"/>
        </w:rPr>
        <w:t>10.2运输</w:t>
      </w:r>
    </w:p>
    <w:p>
      <w:pPr>
        <w:ind w:firstLine="420" w:firstLineChars="200"/>
        <w:rPr>
          <w:rFonts w:ascii="宋体" w:hAnsi="宋体"/>
          <w:color w:val="000000"/>
          <w:kern w:val="58"/>
          <w:sz w:val="21"/>
          <w:szCs w:val="20"/>
        </w:rPr>
      </w:pPr>
      <w:r>
        <w:rPr>
          <w:rFonts w:hint="eastAsia" w:ascii="宋体" w:hAnsi="宋体"/>
          <w:color w:val="000000"/>
          <w:kern w:val="58"/>
          <w:sz w:val="21"/>
          <w:szCs w:val="20"/>
        </w:rPr>
        <w:t>10.2.1比选申请人负责合同货物到达招标人指定现场地面落地的包装及运输事宜。</w:t>
      </w:r>
    </w:p>
    <w:p>
      <w:pPr>
        <w:ind w:firstLine="420" w:firstLineChars="200"/>
        <w:rPr>
          <w:rFonts w:ascii="宋体" w:hAnsi="宋体"/>
          <w:color w:val="000000"/>
          <w:kern w:val="58"/>
          <w:sz w:val="21"/>
          <w:szCs w:val="20"/>
        </w:rPr>
      </w:pPr>
      <w:r>
        <w:rPr>
          <w:rFonts w:hint="eastAsia" w:ascii="宋体" w:hAnsi="宋体"/>
          <w:color w:val="000000"/>
          <w:kern w:val="58"/>
          <w:sz w:val="21"/>
          <w:szCs w:val="20"/>
        </w:rPr>
        <w:t>10.2.2应保证运输的安全可靠，并投保运输货物损失险，对由于运输造成的货物丢失、损坏，造成招标人工程不能按计划完成的，招标人有权追究比选申请人的责任。</w:t>
      </w:r>
    </w:p>
    <w:p>
      <w:pPr>
        <w:ind w:firstLine="482" w:firstLineChars="200"/>
        <w:rPr>
          <w:rFonts w:ascii="宋体" w:hAnsi="宋体"/>
          <w:b/>
          <w:bCs/>
        </w:rPr>
      </w:pPr>
      <w:bookmarkStart w:id="60" w:name="_Toc17693"/>
      <w:bookmarkStart w:id="61" w:name="_Toc466650984"/>
      <w:bookmarkStart w:id="62" w:name="_Toc466650429"/>
      <w:bookmarkStart w:id="63" w:name="_Toc29770"/>
      <w:r>
        <w:rPr>
          <w:rFonts w:hint="eastAsia" w:ascii="宋体" w:hAnsi="宋体"/>
          <w:b/>
          <w:bCs/>
        </w:rPr>
        <w:t>十一、双方往来人员规定</w:t>
      </w:r>
      <w:bookmarkEnd w:id="60"/>
      <w:bookmarkEnd w:id="61"/>
      <w:bookmarkEnd w:id="62"/>
      <w:bookmarkEnd w:id="63"/>
    </w:p>
    <w:p>
      <w:pPr>
        <w:ind w:firstLine="420" w:firstLineChars="200"/>
        <w:rPr>
          <w:rFonts w:ascii="宋体" w:hAnsi="宋体"/>
          <w:color w:val="000000"/>
          <w:kern w:val="58"/>
          <w:sz w:val="21"/>
          <w:szCs w:val="20"/>
        </w:rPr>
      </w:pPr>
      <w:r>
        <w:rPr>
          <w:rFonts w:hint="eastAsia" w:ascii="宋体" w:hAnsi="宋体"/>
          <w:color w:val="000000"/>
          <w:kern w:val="58"/>
          <w:sz w:val="21"/>
          <w:szCs w:val="20"/>
        </w:rPr>
        <w:t>11.1本章节规定了招标人到比选申请人所在地及比选申请人来招标人所在地的原则、要求与规定。并且定义了招标人员参加设计联络、首件确认、验收的人员。</w:t>
      </w:r>
    </w:p>
    <w:p>
      <w:pPr>
        <w:ind w:firstLine="420" w:firstLineChars="200"/>
        <w:rPr>
          <w:rFonts w:ascii="宋体" w:hAnsi="宋体"/>
          <w:color w:val="000000"/>
          <w:kern w:val="58"/>
          <w:sz w:val="21"/>
          <w:szCs w:val="20"/>
        </w:rPr>
      </w:pPr>
      <w:r>
        <w:rPr>
          <w:rFonts w:hint="eastAsia" w:ascii="宋体" w:hAnsi="宋体"/>
          <w:color w:val="000000"/>
          <w:kern w:val="58"/>
          <w:sz w:val="21"/>
          <w:szCs w:val="20"/>
        </w:rPr>
        <w:t>11.2招标人到比选申请人场地</w:t>
      </w:r>
    </w:p>
    <w:p>
      <w:pPr>
        <w:ind w:firstLine="420" w:firstLineChars="200"/>
        <w:rPr>
          <w:rFonts w:ascii="宋体" w:hAnsi="宋体"/>
          <w:color w:val="000000"/>
          <w:kern w:val="58"/>
          <w:sz w:val="21"/>
          <w:szCs w:val="20"/>
        </w:rPr>
      </w:pPr>
      <w:r>
        <w:rPr>
          <w:rFonts w:hint="eastAsia" w:ascii="宋体" w:hAnsi="宋体"/>
          <w:color w:val="000000"/>
          <w:kern w:val="58"/>
          <w:sz w:val="21"/>
          <w:szCs w:val="20"/>
        </w:rPr>
        <w:t>招标人委派人员将作为招标人正式代表，他们被授权在访问过程中对发生的事件作出决定。另外，他们也被授权代表招标人签署相关的文件（如会议纪要）。</w:t>
      </w:r>
    </w:p>
    <w:p>
      <w:pPr>
        <w:ind w:firstLine="420" w:firstLineChars="200"/>
        <w:rPr>
          <w:rFonts w:ascii="宋体" w:hAnsi="宋体"/>
          <w:color w:val="000000"/>
          <w:kern w:val="58"/>
          <w:sz w:val="21"/>
          <w:szCs w:val="20"/>
        </w:rPr>
      </w:pPr>
      <w:r>
        <w:rPr>
          <w:rFonts w:hint="eastAsia" w:ascii="宋体" w:hAnsi="宋体"/>
          <w:color w:val="000000"/>
          <w:kern w:val="58"/>
          <w:sz w:val="21"/>
          <w:szCs w:val="20"/>
        </w:rPr>
        <w:t>11.3比选申请人到招标人场地</w:t>
      </w:r>
    </w:p>
    <w:p>
      <w:pPr>
        <w:ind w:firstLine="420" w:firstLineChars="200"/>
        <w:rPr>
          <w:rFonts w:ascii="宋体" w:hAnsi="宋体"/>
          <w:color w:val="000000"/>
          <w:kern w:val="58"/>
          <w:sz w:val="21"/>
          <w:szCs w:val="20"/>
        </w:rPr>
      </w:pPr>
      <w:r>
        <w:rPr>
          <w:rFonts w:hint="eastAsia" w:ascii="宋体" w:hAnsi="宋体"/>
          <w:color w:val="000000"/>
          <w:kern w:val="58"/>
          <w:sz w:val="21"/>
          <w:szCs w:val="20"/>
        </w:rPr>
        <w:t>11.3.2比选申请人应严格遵守运营分公司的劳动规章制度，进出招标人场地应做好登记工作。</w:t>
      </w:r>
    </w:p>
    <w:p>
      <w:pPr>
        <w:ind w:firstLine="420" w:firstLineChars="200"/>
        <w:rPr>
          <w:rFonts w:hint="eastAsia" w:ascii="宋体" w:hAnsi="宋体"/>
          <w:color w:val="000000"/>
          <w:kern w:val="58"/>
          <w:sz w:val="21"/>
          <w:szCs w:val="20"/>
        </w:rPr>
      </w:pPr>
      <w:r>
        <w:rPr>
          <w:rFonts w:hint="eastAsia" w:ascii="宋体" w:hAnsi="宋体"/>
          <w:color w:val="000000"/>
          <w:kern w:val="58"/>
          <w:sz w:val="21"/>
          <w:szCs w:val="20"/>
        </w:rPr>
        <w:t>11.3.3在验收前，比选申请人应对工装提供必要的防护。比选申请人应为检查和验收委派工程师。人员数量根据工程的进展和任务需要可能作适当调整。若比选申请人不能按时完成任务，比选申请人调整人员的费用由比选申请人承担。</w:t>
      </w:r>
    </w:p>
    <w:p>
      <w:pPr>
        <w:pStyle w:val="2"/>
      </w:pPr>
    </w:p>
    <w:sectPr>
      <w:pgSz w:w="11906" w:h="16838"/>
      <w:pgMar w:top="1440" w:right="1077" w:bottom="1440"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20"/>
  <w:drawingGridVerticalSpacing w:val="163"/>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402F13"/>
    <w:rsid w:val="00000F9B"/>
    <w:rsid w:val="00002C90"/>
    <w:rsid w:val="00003048"/>
    <w:rsid w:val="00011492"/>
    <w:rsid w:val="00012216"/>
    <w:rsid w:val="0001345B"/>
    <w:rsid w:val="0001361C"/>
    <w:rsid w:val="00014D6A"/>
    <w:rsid w:val="00015B65"/>
    <w:rsid w:val="000162FF"/>
    <w:rsid w:val="00016849"/>
    <w:rsid w:val="00017C4F"/>
    <w:rsid w:val="0002064C"/>
    <w:rsid w:val="00020C5C"/>
    <w:rsid w:val="000234EC"/>
    <w:rsid w:val="00025026"/>
    <w:rsid w:val="00032BA3"/>
    <w:rsid w:val="00033805"/>
    <w:rsid w:val="00037D73"/>
    <w:rsid w:val="000445BC"/>
    <w:rsid w:val="0004703D"/>
    <w:rsid w:val="0004741E"/>
    <w:rsid w:val="000578F9"/>
    <w:rsid w:val="00062217"/>
    <w:rsid w:val="0006254A"/>
    <w:rsid w:val="0006267C"/>
    <w:rsid w:val="00063FD6"/>
    <w:rsid w:val="00071042"/>
    <w:rsid w:val="00072351"/>
    <w:rsid w:val="000737DC"/>
    <w:rsid w:val="0007508C"/>
    <w:rsid w:val="00077243"/>
    <w:rsid w:val="00082392"/>
    <w:rsid w:val="00085031"/>
    <w:rsid w:val="00085BE8"/>
    <w:rsid w:val="0008678A"/>
    <w:rsid w:val="00091522"/>
    <w:rsid w:val="00092FB2"/>
    <w:rsid w:val="00095B59"/>
    <w:rsid w:val="000A282B"/>
    <w:rsid w:val="000A4C96"/>
    <w:rsid w:val="000A5C3C"/>
    <w:rsid w:val="000B048B"/>
    <w:rsid w:val="000B06A0"/>
    <w:rsid w:val="000B4E9B"/>
    <w:rsid w:val="000B615E"/>
    <w:rsid w:val="000B73E1"/>
    <w:rsid w:val="000B780C"/>
    <w:rsid w:val="000C1645"/>
    <w:rsid w:val="000C17F6"/>
    <w:rsid w:val="000C3710"/>
    <w:rsid w:val="000C5519"/>
    <w:rsid w:val="000C6693"/>
    <w:rsid w:val="000C7750"/>
    <w:rsid w:val="000D05DC"/>
    <w:rsid w:val="000D2035"/>
    <w:rsid w:val="000D2E24"/>
    <w:rsid w:val="000D52E3"/>
    <w:rsid w:val="000D5ADF"/>
    <w:rsid w:val="000D5C75"/>
    <w:rsid w:val="000D6D80"/>
    <w:rsid w:val="000E2ADD"/>
    <w:rsid w:val="000E458C"/>
    <w:rsid w:val="000E4E7E"/>
    <w:rsid w:val="000E5139"/>
    <w:rsid w:val="000E5959"/>
    <w:rsid w:val="000E732F"/>
    <w:rsid w:val="000F0C39"/>
    <w:rsid w:val="000F1781"/>
    <w:rsid w:val="000F5B12"/>
    <w:rsid w:val="000F64BA"/>
    <w:rsid w:val="00101036"/>
    <w:rsid w:val="001024C2"/>
    <w:rsid w:val="00102502"/>
    <w:rsid w:val="00102865"/>
    <w:rsid w:val="00103C49"/>
    <w:rsid w:val="001046FF"/>
    <w:rsid w:val="00107882"/>
    <w:rsid w:val="00111565"/>
    <w:rsid w:val="001148D9"/>
    <w:rsid w:val="001162E6"/>
    <w:rsid w:val="00117083"/>
    <w:rsid w:val="00124950"/>
    <w:rsid w:val="00126B00"/>
    <w:rsid w:val="001322B8"/>
    <w:rsid w:val="00137446"/>
    <w:rsid w:val="00137EDF"/>
    <w:rsid w:val="00142C54"/>
    <w:rsid w:val="001433D7"/>
    <w:rsid w:val="00147952"/>
    <w:rsid w:val="00153A74"/>
    <w:rsid w:val="00153DD9"/>
    <w:rsid w:val="00155876"/>
    <w:rsid w:val="00160A54"/>
    <w:rsid w:val="001629D1"/>
    <w:rsid w:val="0016564B"/>
    <w:rsid w:val="001665D6"/>
    <w:rsid w:val="00170A45"/>
    <w:rsid w:val="0017193F"/>
    <w:rsid w:val="00172DB2"/>
    <w:rsid w:val="00172FC8"/>
    <w:rsid w:val="001769EB"/>
    <w:rsid w:val="00181217"/>
    <w:rsid w:val="00182168"/>
    <w:rsid w:val="001821CF"/>
    <w:rsid w:val="00183CC6"/>
    <w:rsid w:val="00184DD4"/>
    <w:rsid w:val="0018513E"/>
    <w:rsid w:val="001906AF"/>
    <w:rsid w:val="00191AA3"/>
    <w:rsid w:val="00192D6E"/>
    <w:rsid w:val="00195284"/>
    <w:rsid w:val="00195803"/>
    <w:rsid w:val="001A4385"/>
    <w:rsid w:val="001B3BC3"/>
    <w:rsid w:val="001C20F6"/>
    <w:rsid w:val="001C44B2"/>
    <w:rsid w:val="001C5687"/>
    <w:rsid w:val="001C662C"/>
    <w:rsid w:val="001C71A0"/>
    <w:rsid w:val="001D25F9"/>
    <w:rsid w:val="001D2A23"/>
    <w:rsid w:val="001D5DA9"/>
    <w:rsid w:val="001D6934"/>
    <w:rsid w:val="001D6C83"/>
    <w:rsid w:val="001E16BB"/>
    <w:rsid w:val="001E3144"/>
    <w:rsid w:val="001E34B5"/>
    <w:rsid w:val="001E3838"/>
    <w:rsid w:val="001E3BBD"/>
    <w:rsid w:val="001E4A9C"/>
    <w:rsid w:val="001E6335"/>
    <w:rsid w:val="001E6C4E"/>
    <w:rsid w:val="001F2A4F"/>
    <w:rsid w:val="001F2EBA"/>
    <w:rsid w:val="001F485B"/>
    <w:rsid w:val="001F6F81"/>
    <w:rsid w:val="001F76FD"/>
    <w:rsid w:val="002060D6"/>
    <w:rsid w:val="002062BD"/>
    <w:rsid w:val="00207D75"/>
    <w:rsid w:val="00207F03"/>
    <w:rsid w:val="00213178"/>
    <w:rsid w:val="002142A1"/>
    <w:rsid w:val="0022160B"/>
    <w:rsid w:val="00224409"/>
    <w:rsid w:val="002261A7"/>
    <w:rsid w:val="00227275"/>
    <w:rsid w:val="00231433"/>
    <w:rsid w:val="0023158F"/>
    <w:rsid w:val="00232510"/>
    <w:rsid w:val="00235765"/>
    <w:rsid w:val="00237693"/>
    <w:rsid w:val="0024028E"/>
    <w:rsid w:val="00243B5A"/>
    <w:rsid w:val="00246EAD"/>
    <w:rsid w:val="002527C0"/>
    <w:rsid w:val="0025381D"/>
    <w:rsid w:val="00255543"/>
    <w:rsid w:val="00255FCB"/>
    <w:rsid w:val="00256A46"/>
    <w:rsid w:val="002609DE"/>
    <w:rsid w:val="002626D4"/>
    <w:rsid w:val="00262C89"/>
    <w:rsid w:val="00262D5A"/>
    <w:rsid w:val="002655D7"/>
    <w:rsid w:val="002665E9"/>
    <w:rsid w:val="00270FE4"/>
    <w:rsid w:val="00271084"/>
    <w:rsid w:val="002728FF"/>
    <w:rsid w:val="00273267"/>
    <w:rsid w:val="00276F41"/>
    <w:rsid w:val="00277265"/>
    <w:rsid w:val="002773C2"/>
    <w:rsid w:val="0028358C"/>
    <w:rsid w:val="002861C8"/>
    <w:rsid w:val="002878BC"/>
    <w:rsid w:val="002908F3"/>
    <w:rsid w:val="00294CC3"/>
    <w:rsid w:val="002A191D"/>
    <w:rsid w:val="002A407D"/>
    <w:rsid w:val="002A45B5"/>
    <w:rsid w:val="002A4A21"/>
    <w:rsid w:val="002A4AFA"/>
    <w:rsid w:val="002A6D9E"/>
    <w:rsid w:val="002A782E"/>
    <w:rsid w:val="002A7A1C"/>
    <w:rsid w:val="002A7F3A"/>
    <w:rsid w:val="002B2976"/>
    <w:rsid w:val="002B2A70"/>
    <w:rsid w:val="002B4964"/>
    <w:rsid w:val="002B4F8D"/>
    <w:rsid w:val="002B5B0E"/>
    <w:rsid w:val="002B6342"/>
    <w:rsid w:val="002D0E7C"/>
    <w:rsid w:val="002D2BA3"/>
    <w:rsid w:val="002D40AE"/>
    <w:rsid w:val="002D6F19"/>
    <w:rsid w:val="002D7846"/>
    <w:rsid w:val="002E0B3B"/>
    <w:rsid w:val="002E3FB0"/>
    <w:rsid w:val="002E5544"/>
    <w:rsid w:val="002E7E97"/>
    <w:rsid w:val="002F00D3"/>
    <w:rsid w:val="002F1316"/>
    <w:rsid w:val="0030032E"/>
    <w:rsid w:val="00300D81"/>
    <w:rsid w:val="00300EAC"/>
    <w:rsid w:val="00301AD5"/>
    <w:rsid w:val="00302483"/>
    <w:rsid w:val="00303EC4"/>
    <w:rsid w:val="00304416"/>
    <w:rsid w:val="00304E5E"/>
    <w:rsid w:val="00305630"/>
    <w:rsid w:val="003074BB"/>
    <w:rsid w:val="003077F2"/>
    <w:rsid w:val="0031085B"/>
    <w:rsid w:val="00312F2F"/>
    <w:rsid w:val="00314AFA"/>
    <w:rsid w:val="00316779"/>
    <w:rsid w:val="003210CC"/>
    <w:rsid w:val="00326A45"/>
    <w:rsid w:val="00331861"/>
    <w:rsid w:val="00331939"/>
    <w:rsid w:val="003426CD"/>
    <w:rsid w:val="00344FE6"/>
    <w:rsid w:val="00346DD4"/>
    <w:rsid w:val="00347B5C"/>
    <w:rsid w:val="00352D67"/>
    <w:rsid w:val="003530C2"/>
    <w:rsid w:val="0036380C"/>
    <w:rsid w:val="00366663"/>
    <w:rsid w:val="00366806"/>
    <w:rsid w:val="003677A9"/>
    <w:rsid w:val="00372AC0"/>
    <w:rsid w:val="0037345A"/>
    <w:rsid w:val="003747BA"/>
    <w:rsid w:val="00374EE2"/>
    <w:rsid w:val="00376848"/>
    <w:rsid w:val="00376EA0"/>
    <w:rsid w:val="0038087C"/>
    <w:rsid w:val="00383089"/>
    <w:rsid w:val="003853DC"/>
    <w:rsid w:val="0038749A"/>
    <w:rsid w:val="003876B7"/>
    <w:rsid w:val="003924B9"/>
    <w:rsid w:val="003963FA"/>
    <w:rsid w:val="00396438"/>
    <w:rsid w:val="00397A70"/>
    <w:rsid w:val="00397EF9"/>
    <w:rsid w:val="003A20BE"/>
    <w:rsid w:val="003A370F"/>
    <w:rsid w:val="003A753C"/>
    <w:rsid w:val="003B09E6"/>
    <w:rsid w:val="003B182A"/>
    <w:rsid w:val="003B2E08"/>
    <w:rsid w:val="003D19DF"/>
    <w:rsid w:val="003D43B8"/>
    <w:rsid w:val="003E09B0"/>
    <w:rsid w:val="003F086E"/>
    <w:rsid w:val="003F1AA5"/>
    <w:rsid w:val="003F1BF1"/>
    <w:rsid w:val="003F4D72"/>
    <w:rsid w:val="003F5254"/>
    <w:rsid w:val="003F79A7"/>
    <w:rsid w:val="004016FA"/>
    <w:rsid w:val="00402F13"/>
    <w:rsid w:val="004032B2"/>
    <w:rsid w:val="004037D1"/>
    <w:rsid w:val="004042E6"/>
    <w:rsid w:val="00405991"/>
    <w:rsid w:val="004071FB"/>
    <w:rsid w:val="00410296"/>
    <w:rsid w:val="00411475"/>
    <w:rsid w:val="004129D3"/>
    <w:rsid w:val="0041689F"/>
    <w:rsid w:val="004208F1"/>
    <w:rsid w:val="004215B7"/>
    <w:rsid w:val="00421D78"/>
    <w:rsid w:val="00421E0D"/>
    <w:rsid w:val="004226AB"/>
    <w:rsid w:val="00424E75"/>
    <w:rsid w:val="00426BA3"/>
    <w:rsid w:val="00430CC5"/>
    <w:rsid w:val="0043110C"/>
    <w:rsid w:val="0043227A"/>
    <w:rsid w:val="004348EA"/>
    <w:rsid w:val="004358D9"/>
    <w:rsid w:val="00436C9F"/>
    <w:rsid w:val="00440A9C"/>
    <w:rsid w:val="00441FF9"/>
    <w:rsid w:val="0044272C"/>
    <w:rsid w:val="0044562F"/>
    <w:rsid w:val="00450AC3"/>
    <w:rsid w:val="00452AFE"/>
    <w:rsid w:val="004574EF"/>
    <w:rsid w:val="004600B7"/>
    <w:rsid w:val="004602F0"/>
    <w:rsid w:val="00460845"/>
    <w:rsid w:val="004640AF"/>
    <w:rsid w:val="0046542F"/>
    <w:rsid w:val="00466CFF"/>
    <w:rsid w:val="00470396"/>
    <w:rsid w:val="00474990"/>
    <w:rsid w:val="00475279"/>
    <w:rsid w:val="00476097"/>
    <w:rsid w:val="00480238"/>
    <w:rsid w:val="00480E0A"/>
    <w:rsid w:val="00480E7D"/>
    <w:rsid w:val="00482E68"/>
    <w:rsid w:val="0048396A"/>
    <w:rsid w:val="004858A0"/>
    <w:rsid w:val="00485CF3"/>
    <w:rsid w:val="00487923"/>
    <w:rsid w:val="00491D0D"/>
    <w:rsid w:val="004935AC"/>
    <w:rsid w:val="004A10E3"/>
    <w:rsid w:val="004A3917"/>
    <w:rsid w:val="004A4B33"/>
    <w:rsid w:val="004A5692"/>
    <w:rsid w:val="004B3643"/>
    <w:rsid w:val="004B417E"/>
    <w:rsid w:val="004B4ACA"/>
    <w:rsid w:val="004B6C9B"/>
    <w:rsid w:val="004B7B16"/>
    <w:rsid w:val="004C0217"/>
    <w:rsid w:val="004C07FE"/>
    <w:rsid w:val="004C18EA"/>
    <w:rsid w:val="004C1A8A"/>
    <w:rsid w:val="004C23F5"/>
    <w:rsid w:val="004C2F3E"/>
    <w:rsid w:val="004C458F"/>
    <w:rsid w:val="004C4678"/>
    <w:rsid w:val="004C53BE"/>
    <w:rsid w:val="004D10EB"/>
    <w:rsid w:val="004D16C7"/>
    <w:rsid w:val="004D1E19"/>
    <w:rsid w:val="004D2559"/>
    <w:rsid w:val="004D589B"/>
    <w:rsid w:val="004D5F82"/>
    <w:rsid w:val="004D774E"/>
    <w:rsid w:val="004E6FFF"/>
    <w:rsid w:val="004E7A49"/>
    <w:rsid w:val="004E7AB4"/>
    <w:rsid w:val="004F0AA1"/>
    <w:rsid w:val="004F13E4"/>
    <w:rsid w:val="004F40E8"/>
    <w:rsid w:val="004F73CA"/>
    <w:rsid w:val="0050506A"/>
    <w:rsid w:val="005101C1"/>
    <w:rsid w:val="00516851"/>
    <w:rsid w:val="005169F6"/>
    <w:rsid w:val="00516CE8"/>
    <w:rsid w:val="0052209F"/>
    <w:rsid w:val="00522ADD"/>
    <w:rsid w:val="00536ABC"/>
    <w:rsid w:val="00536E22"/>
    <w:rsid w:val="00540DA7"/>
    <w:rsid w:val="00543E67"/>
    <w:rsid w:val="00544504"/>
    <w:rsid w:val="00545059"/>
    <w:rsid w:val="005472A3"/>
    <w:rsid w:val="00550046"/>
    <w:rsid w:val="0055071B"/>
    <w:rsid w:val="00552029"/>
    <w:rsid w:val="00552B4A"/>
    <w:rsid w:val="00552F4C"/>
    <w:rsid w:val="005548DB"/>
    <w:rsid w:val="00554A32"/>
    <w:rsid w:val="0055579E"/>
    <w:rsid w:val="00556148"/>
    <w:rsid w:val="005601D8"/>
    <w:rsid w:val="0056159B"/>
    <w:rsid w:val="00562B5D"/>
    <w:rsid w:val="00573FDD"/>
    <w:rsid w:val="0057610F"/>
    <w:rsid w:val="005763EB"/>
    <w:rsid w:val="00577307"/>
    <w:rsid w:val="00580287"/>
    <w:rsid w:val="00580A57"/>
    <w:rsid w:val="00580F84"/>
    <w:rsid w:val="00581BB9"/>
    <w:rsid w:val="00581C17"/>
    <w:rsid w:val="00581C54"/>
    <w:rsid w:val="00581F6D"/>
    <w:rsid w:val="00583670"/>
    <w:rsid w:val="00584B35"/>
    <w:rsid w:val="00586A44"/>
    <w:rsid w:val="00587573"/>
    <w:rsid w:val="005A13EA"/>
    <w:rsid w:val="005A156A"/>
    <w:rsid w:val="005A1697"/>
    <w:rsid w:val="005A182C"/>
    <w:rsid w:val="005A20A7"/>
    <w:rsid w:val="005A20D5"/>
    <w:rsid w:val="005A2908"/>
    <w:rsid w:val="005A2B99"/>
    <w:rsid w:val="005A31E2"/>
    <w:rsid w:val="005B089D"/>
    <w:rsid w:val="005B18A1"/>
    <w:rsid w:val="005B1A80"/>
    <w:rsid w:val="005B26BF"/>
    <w:rsid w:val="005B293A"/>
    <w:rsid w:val="005B6CC8"/>
    <w:rsid w:val="005C34AD"/>
    <w:rsid w:val="005C4292"/>
    <w:rsid w:val="005C6E17"/>
    <w:rsid w:val="005C6E18"/>
    <w:rsid w:val="005C6F59"/>
    <w:rsid w:val="005C77CA"/>
    <w:rsid w:val="005D0448"/>
    <w:rsid w:val="005D2F13"/>
    <w:rsid w:val="005D44BC"/>
    <w:rsid w:val="005D6D81"/>
    <w:rsid w:val="005E26B9"/>
    <w:rsid w:val="005E5AA5"/>
    <w:rsid w:val="005E5D6A"/>
    <w:rsid w:val="005E7078"/>
    <w:rsid w:val="005E7435"/>
    <w:rsid w:val="005F0DBF"/>
    <w:rsid w:val="005F205C"/>
    <w:rsid w:val="005F3C5A"/>
    <w:rsid w:val="005F5882"/>
    <w:rsid w:val="00602062"/>
    <w:rsid w:val="00603691"/>
    <w:rsid w:val="0060528A"/>
    <w:rsid w:val="00605479"/>
    <w:rsid w:val="00606871"/>
    <w:rsid w:val="0060767B"/>
    <w:rsid w:val="00610A79"/>
    <w:rsid w:val="006118FA"/>
    <w:rsid w:val="006132F9"/>
    <w:rsid w:val="00614538"/>
    <w:rsid w:val="006152EB"/>
    <w:rsid w:val="006237F5"/>
    <w:rsid w:val="0062395D"/>
    <w:rsid w:val="006271EC"/>
    <w:rsid w:val="006276B0"/>
    <w:rsid w:val="006279D9"/>
    <w:rsid w:val="00631BAE"/>
    <w:rsid w:val="006341BB"/>
    <w:rsid w:val="006350A9"/>
    <w:rsid w:val="0063648E"/>
    <w:rsid w:val="0063679A"/>
    <w:rsid w:val="00641130"/>
    <w:rsid w:val="00641FE8"/>
    <w:rsid w:val="0064419B"/>
    <w:rsid w:val="0065242A"/>
    <w:rsid w:val="00652BDD"/>
    <w:rsid w:val="00652F34"/>
    <w:rsid w:val="00654555"/>
    <w:rsid w:val="00656C14"/>
    <w:rsid w:val="00657590"/>
    <w:rsid w:val="00662003"/>
    <w:rsid w:val="0066383B"/>
    <w:rsid w:val="00663F91"/>
    <w:rsid w:val="00664A9B"/>
    <w:rsid w:val="006674CB"/>
    <w:rsid w:val="00667C51"/>
    <w:rsid w:val="006703B9"/>
    <w:rsid w:val="00673A10"/>
    <w:rsid w:val="00674624"/>
    <w:rsid w:val="0067652B"/>
    <w:rsid w:val="0067749D"/>
    <w:rsid w:val="00681BAA"/>
    <w:rsid w:val="006851D0"/>
    <w:rsid w:val="006901C2"/>
    <w:rsid w:val="00693504"/>
    <w:rsid w:val="006937CA"/>
    <w:rsid w:val="006938D5"/>
    <w:rsid w:val="006942A0"/>
    <w:rsid w:val="00694316"/>
    <w:rsid w:val="00696860"/>
    <w:rsid w:val="006A12D4"/>
    <w:rsid w:val="006A1CFF"/>
    <w:rsid w:val="006A4F28"/>
    <w:rsid w:val="006B5ECF"/>
    <w:rsid w:val="006B787A"/>
    <w:rsid w:val="006C11F8"/>
    <w:rsid w:val="006C3FFB"/>
    <w:rsid w:val="006C42CE"/>
    <w:rsid w:val="006D21E4"/>
    <w:rsid w:val="006D470A"/>
    <w:rsid w:val="006D6A7F"/>
    <w:rsid w:val="006F0ED0"/>
    <w:rsid w:val="006F6F5F"/>
    <w:rsid w:val="006F76F3"/>
    <w:rsid w:val="00700C3C"/>
    <w:rsid w:val="0070277C"/>
    <w:rsid w:val="00703C46"/>
    <w:rsid w:val="00704BDC"/>
    <w:rsid w:val="00705C9B"/>
    <w:rsid w:val="00706995"/>
    <w:rsid w:val="00710306"/>
    <w:rsid w:val="0071300E"/>
    <w:rsid w:val="00714419"/>
    <w:rsid w:val="007171BF"/>
    <w:rsid w:val="0071750A"/>
    <w:rsid w:val="00717813"/>
    <w:rsid w:val="00721FED"/>
    <w:rsid w:val="0072306F"/>
    <w:rsid w:val="007235A0"/>
    <w:rsid w:val="00723741"/>
    <w:rsid w:val="00724CC8"/>
    <w:rsid w:val="0072661B"/>
    <w:rsid w:val="007341AB"/>
    <w:rsid w:val="00734AA3"/>
    <w:rsid w:val="007363FE"/>
    <w:rsid w:val="007367F3"/>
    <w:rsid w:val="0073683D"/>
    <w:rsid w:val="007400AE"/>
    <w:rsid w:val="00741909"/>
    <w:rsid w:val="00743741"/>
    <w:rsid w:val="00743F96"/>
    <w:rsid w:val="0074464B"/>
    <w:rsid w:val="00746909"/>
    <w:rsid w:val="00746967"/>
    <w:rsid w:val="00746F7C"/>
    <w:rsid w:val="007479C6"/>
    <w:rsid w:val="00750738"/>
    <w:rsid w:val="00750EC6"/>
    <w:rsid w:val="007515FE"/>
    <w:rsid w:val="00753421"/>
    <w:rsid w:val="0075553C"/>
    <w:rsid w:val="00756144"/>
    <w:rsid w:val="0076098F"/>
    <w:rsid w:val="00762DD0"/>
    <w:rsid w:val="00763F48"/>
    <w:rsid w:val="00770F4D"/>
    <w:rsid w:val="0077445C"/>
    <w:rsid w:val="00781C86"/>
    <w:rsid w:val="00787263"/>
    <w:rsid w:val="0079012E"/>
    <w:rsid w:val="00793357"/>
    <w:rsid w:val="00794976"/>
    <w:rsid w:val="0079558A"/>
    <w:rsid w:val="007964CA"/>
    <w:rsid w:val="00797687"/>
    <w:rsid w:val="007A1D05"/>
    <w:rsid w:val="007A256D"/>
    <w:rsid w:val="007A2DAE"/>
    <w:rsid w:val="007A3F41"/>
    <w:rsid w:val="007A7FBB"/>
    <w:rsid w:val="007B2EA8"/>
    <w:rsid w:val="007B65F5"/>
    <w:rsid w:val="007B6D2A"/>
    <w:rsid w:val="007C0A90"/>
    <w:rsid w:val="007C2BBD"/>
    <w:rsid w:val="007C34AC"/>
    <w:rsid w:val="007C37A4"/>
    <w:rsid w:val="007C7011"/>
    <w:rsid w:val="007C7AD2"/>
    <w:rsid w:val="007D0C1D"/>
    <w:rsid w:val="007D3CDD"/>
    <w:rsid w:val="007D6537"/>
    <w:rsid w:val="007D69FE"/>
    <w:rsid w:val="007D6FA2"/>
    <w:rsid w:val="007D7D34"/>
    <w:rsid w:val="007D7EE6"/>
    <w:rsid w:val="007E1E10"/>
    <w:rsid w:val="007E32AD"/>
    <w:rsid w:val="007E437C"/>
    <w:rsid w:val="007E656F"/>
    <w:rsid w:val="007E7E27"/>
    <w:rsid w:val="007F0051"/>
    <w:rsid w:val="007F0F85"/>
    <w:rsid w:val="007F33C0"/>
    <w:rsid w:val="007F3635"/>
    <w:rsid w:val="007F740A"/>
    <w:rsid w:val="007F7833"/>
    <w:rsid w:val="008000BE"/>
    <w:rsid w:val="00800AAE"/>
    <w:rsid w:val="008012F3"/>
    <w:rsid w:val="008053BB"/>
    <w:rsid w:val="00805E4D"/>
    <w:rsid w:val="00806D34"/>
    <w:rsid w:val="00807BB0"/>
    <w:rsid w:val="00807C22"/>
    <w:rsid w:val="00811FB8"/>
    <w:rsid w:val="00812338"/>
    <w:rsid w:val="00812E43"/>
    <w:rsid w:val="00816E09"/>
    <w:rsid w:val="0081785F"/>
    <w:rsid w:val="00820C2E"/>
    <w:rsid w:val="00822B3D"/>
    <w:rsid w:val="00823C7D"/>
    <w:rsid w:val="00825F5D"/>
    <w:rsid w:val="008277DD"/>
    <w:rsid w:val="00831CF4"/>
    <w:rsid w:val="00832F00"/>
    <w:rsid w:val="00833787"/>
    <w:rsid w:val="00841D4D"/>
    <w:rsid w:val="00842126"/>
    <w:rsid w:val="00842BC1"/>
    <w:rsid w:val="00842D1E"/>
    <w:rsid w:val="00845D63"/>
    <w:rsid w:val="0085625E"/>
    <w:rsid w:val="00861A4D"/>
    <w:rsid w:val="00862EDD"/>
    <w:rsid w:val="008658DE"/>
    <w:rsid w:val="00866840"/>
    <w:rsid w:val="008701F8"/>
    <w:rsid w:val="008704DF"/>
    <w:rsid w:val="00872D7F"/>
    <w:rsid w:val="00873B39"/>
    <w:rsid w:val="00875DB1"/>
    <w:rsid w:val="00877B5A"/>
    <w:rsid w:val="00880140"/>
    <w:rsid w:val="008807AE"/>
    <w:rsid w:val="0088178E"/>
    <w:rsid w:val="008818C0"/>
    <w:rsid w:val="00882A2B"/>
    <w:rsid w:val="008837B8"/>
    <w:rsid w:val="008860EF"/>
    <w:rsid w:val="00891DFC"/>
    <w:rsid w:val="008A0731"/>
    <w:rsid w:val="008A0883"/>
    <w:rsid w:val="008A28E0"/>
    <w:rsid w:val="008A484A"/>
    <w:rsid w:val="008A5B03"/>
    <w:rsid w:val="008A5F60"/>
    <w:rsid w:val="008A6913"/>
    <w:rsid w:val="008A6BD1"/>
    <w:rsid w:val="008A72B8"/>
    <w:rsid w:val="008B2B5C"/>
    <w:rsid w:val="008B2C10"/>
    <w:rsid w:val="008B36AF"/>
    <w:rsid w:val="008B4385"/>
    <w:rsid w:val="008B5664"/>
    <w:rsid w:val="008B5BAB"/>
    <w:rsid w:val="008B6014"/>
    <w:rsid w:val="008C03DF"/>
    <w:rsid w:val="008C147E"/>
    <w:rsid w:val="008C2671"/>
    <w:rsid w:val="008C29B4"/>
    <w:rsid w:val="008C3DC2"/>
    <w:rsid w:val="008C4CD2"/>
    <w:rsid w:val="008C686C"/>
    <w:rsid w:val="008C74C6"/>
    <w:rsid w:val="008D1B61"/>
    <w:rsid w:val="008D5B8D"/>
    <w:rsid w:val="008E03E6"/>
    <w:rsid w:val="008E092D"/>
    <w:rsid w:val="008E13F7"/>
    <w:rsid w:val="008E2337"/>
    <w:rsid w:val="008E3781"/>
    <w:rsid w:val="008E3B9F"/>
    <w:rsid w:val="008E3DB3"/>
    <w:rsid w:val="008E5120"/>
    <w:rsid w:val="008E59BB"/>
    <w:rsid w:val="008E64B0"/>
    <w:rsid w:val="008F1285"/>
    <w:rsid w:val="008F2C86"/>
    <w:rsid w:val="008F346D"/>
    <w:rsid w:val="008F4039"/>
    <w:rsid w:val="008F41B8"/>
    <w:rsid w:val="00902127"/>
    <w:rsid w:val="009046AA"/>
    <w:rsid w:val="00906C89"/>
    <w:rsid w:val="00912B0F"/>
    <w:rsid w:val="00913F02"/>
    <w:rsid w:val="00914830"/>
    <w:rsid w:val="00914920"/>
    <w:rsid w:val="00915BE6"/>
    <w:rsid w:val="00917D74"/>
    <w:rsid w:val="00921F98"/>
    <w:rsid w:val="009227C4"/>
    <w:rsid w:val="0092299C"/>
    <w:rsid w:val="00923E9D"/>
    <w:rsid w:val="00930303"/>
    <w:rsid w:val="009304A6"/>
    <w:rsid w:val="00931344"/>
    <w:rsid w:val="00933FAF"/>
    <w:rsid w:val="00935C0B"/>
    <w:rsid w:val="00946676"/>
    <w:rsid w:val="0094736F"/>
    <w:rsid w:val="0094743F"/>
    <w:rsid w:val="00950275"/>
    <w:rsid w:val="00952304"/>
    <w:rsid w:val="0095336C"/>
    <w:rsid w:val="00953F3E"/>
    <w:rsid w:val="009542B0"/>
    <w:rsid w:val="00956958"/>
    <w:rsid w:val="00961B73"/>
    <w:rsid w:val="00963AFB"/>
    <w:rsid w:val="00965A6E"/>
    <w:rsid w:val="00972E96"/>
    <w:rsid w:val="00973782"/>
    <w:rsid w:val="0097594B"/>
    <w:rsid w:val="00975DAD"/>
    <w:rsid w:val="0097670A"/>
    <w:rsid w:val="00977BB2"/>
    <w:rsid w:val="00980EB6"/>
    <w:rsid w:val="00982CC4"/>
    <w:rsid w:val="0098531F"/>
    <w:rsid w:val="00985DAB"/>
    <w:rsid w:val="0098613E"/>
    <w:rsid w:val="00986F82"/>
    <w:rsid w:val="00987403"/>
    <w:rsid w:val="00992477"/>
    <w:rsid w:val="00992E79"/>
    <w:rsid w:val="00995913"/>
    <w:rsid w:val="009A277A"/>
    <w:rsid w:val="009A3CDA"/>
    <w:rsid w:val="009A6CDE"/>
    <w:rsid w:val="009B3616"/>
    <w:rsid w:val="009B40B6"/>
    <w:rsid w:val="009B4C45"/>
    <w:rsid w:val="009B4DE5"/>
    <w:rsid w:val="009C6A04"/>
    <w:rsid w:val="009C7DE2"/>
    <w:rsid w:val="009D01D6"/>
    <w:rsid w:val="009D6DDF"/>
    <w:rsid w:val="009D7126"/>
    <w:rsid w:val="009E0D41"/>
    <w:rsid w:val="009E2C48"/>
    <w:rsid w:val="009E6AD8"/>
    <w:rsid w:val="009E77F1"/>
    <w:rsid w:val="009F6CBD"/>
    <w:rsid w:val="00A01302"/>
    <w:rsid w:val="00A0261C"/>
    <w:rsid w:val="00A02DEC"/>
    <w:rsid w:val="00A0378D"/>
    <w:rsid w:val="00A04376"/>
    <w:rsid w:val="00A05CC8"/>
    <w:rsid w:val="00A15817"/>
    <w:rsid w:val="00A20169"/>
    <w:rsid w:val="00A20668"/>
    <w:rsid w:val="00A2104A"/>
    <w:rsid w:val="00A21743"/>
    <w:rsid w:val="00A21F5E"/>
    <w:rsid w:val="00A22AEB"/>
    <w:rsid w:val="00A25A73"/>
    <w:rsid w:val="00A2697D"/>
    <w:rsid w:val="00A27FC2"/>
    <w:rsid w:val="00A32116"/>
    <w:rsid w:val="00A32DB1"/>
    <w:rsid w:val="00A369F7"/>
    <w:rsid w:val="00A36C2D"/>
    <w:rsid w:val="00A36EA1"/>
    <w:rsid w:val="00A37BAB"/>
    <w:rsid w:val="00A403DB"/>
    <w:rsid w:val="00A417A3"/>
    <w:rsid w:val="00A430D0"/>
    <w:rsid w:val="00A446AD"/>
    <w:rsid w:val="00A50133"/>
    <w:rsid w:val="00A503E5"/>
    <w:rsid w:val="00A52FE5"/>
    <w:rsid w:val="00A54351"/>
    <w:rsid w:val="00A54D19"/>
    <w:rsid w:val="00A5643B"/>
    <w:rsid w:val="00A6080A"/>
    <w:rsid w:val="00A63A59"/>
    <w:rsid w:val="00A64652"/>
    <w:rsid w:val="00A67028"/>
    <w:rsid w:val="00A67C46"/>
    <w:rsid w:val="00A70227"/>
    <w:rsid w:val="00A7091E"/>
    <w:rsid w:val="00A71D25"/>
    <w:rsid w:val="00A74436"/>
    <w:rsid w:val="00A76258"/>
    <w:rsid w:val="00A76869"/>
    <w:rsid w:val="00A86551"/>
    <w:rsid w:val="00A934F0"/>
    <w:rsid w:val="00A9484E"/>
    <w:rsid w:val="00A9494E"/>
    <w:rsid w:val="00A95F63"/>
    <w:rsid w:val="00AA0508"/>
    <w:rsid w:val="00AA0598"/>
    <w:rsid w:val="00AA1EC8"/>
    <w:rsid w:val="00AA370E"/>
    <w:rsid w:val="00AA4AB8"/>
    <w:rsid w:val="00AA5094"/>
    <w:rsid w:val="00AA6555"/>
    <w:rsid w:val="00AB0064"/>
    <w:rsid w:val="00AB21E8"/>
    <w:rsid w:val="00AB38D4"/>
    <w:rsid w:val="00AC46B3"/>
    <w:rsid w:val="00AC4E59"/>
    <w:rsid w:val="00AC7DC7"/>
    <w:rsid w:val="00AD33A3"/>
    <w:rsid w:val="00AD4112"/>
    <w:rsid w:val="00AE402D"/>
    <w:rsid w:val="00AE467F"/>
    <w:rsid w:val="00AF16C8"/>
    <w:rsid w:val="00AF3160"/>
    <w:rsid w:val="00AF5F49"/>
    <w:rsid w:val="00AF7BAF"/>
    <w:rsid w:val="00B02C41"/>
    <w:rsid w:val="00B14BAA"/>
    <w:rsid w:val="00B15801"/>
    <w:rsid w:val="00B17754"/>
    <w:rsid w:val="00B1796F"/>
    <w:rsid w:val="00B20A44"/>
    <w:rsid w:val="00B27EBE"/>
    <w:rsid w:val="00B30063"/>
    <w:rsid w:val="00B34EE0"/>
    <w:rsid w:val="00B401B9"/>
    <w:rsid w:val="00B41DAF"/>
    <w:rsid w:val="00B41FC7"/>
    <w:rsid w:val="00B4238E"/>
    <w:rsid w:val="00B42B1C"/>
    <w:rsid w:val="00B42F82"/>
    <w:rsid w:val="00B46202"/>
    <w:rsid w:val="00B4714E"/>
    <w:rsid w:val="00B52316"/>
    <w:rsid w:val="00B52711"/>
    <w:rsid w:val="00B53E18"/>
    <w:rsid w:val="00B54FCD"/>
    <w:rsid w:val="00B558AE"/>
    <w:rsid w:val="00B56960"/>
    <w:rsid w:val="00B57DDF"/>
    <w:rsid w:val="00B60010"/>
    <w:rsid w:val="00B63FC0"/>
    <w:rsid w:val="00B64000"/>
    <w:rsid w:val="00B65963"/>
    <w:rsid w:val="00B65FF6"/>
    <w:rsid w:val="00B6711A"/>
    <w:rsid w:val="00B70CD8"/>
    <w:rsid w:val="00B710C6"/>
    <w:rsid w:val="00B7118B"/>
    <w:rsid w:val="00B7251B"/>
    <w:rsid w:val="00B73475"/>
    <w:rsid w:val="00B753FA"/>
    <w:rsid w:val="00B81B30"/>
    <w:rsid w:val="00B83DDD"/>
    <w:rsid w:val="00B8615D"/>
    <w:rsid w:val="00B876CA"/>
    <w:rsid w:val="00B91153"/>
    <w:rsid w:val="00B9297C"/>
    <w:rsid w:val="00B9336B"/>
    <w:rsid w:val="00B94EAD"/>
    <w:rsid w:val="00B95168"/>
    <w:rsid w:val="00BA3100"/>
    <w:rsid w:val="00BA35AE"/>
    <w:rsid w:val="00BA375B"/>
    <w:rsid w:val="00BA3BEC"/>
    <w:rsid w:val="00BA6431"/>
    <w:rsid w:val="00BA7AA4"/>
    <w:rsid w:val="00BA7EA3"/>
    <w:rsid w:val="00BB0645"/>
    <w:rsid w:val="00BB16E1"/>
    <w:rsid w:val="00BB1937"/>
    <w:rsid w:val="00BB2629"/>
    <w:rsid w:val="00BB35F9"/>
    <w:rsid w:val="00BB40D9"/>
    <w:rsid w:val="00BB42AD"/>
    <w:rsid w:val="00BB4E99"/>
    <w:rsid w:val="00BB5491"/>
    <w:rsid w:val="00BB6393"/>
    <w:rsid w:val="00BC0B8F"/>
    <w:rsid w:val="00BC6C56"/>
    <w:rsid w:val="00BD073D"/>
    <w:rsid w:val="00BD5A0D"/>
    <w:rsid w:val="00BE04FE"/>
    <w:rsid w:val="00BE1C5F"/>
    <w:rsid w:val="00BE1F76"/>
    <w:rsid w:val="00BE2B89"/>
    <w:rsid w:val="00BE43BC"/>
    <w:rsid w:val="00BE460F"/>
    <w:rsid w:val="00BE6F6A"/>
    <w:rsid w:val="00BE7B53"/>
    <w:rsid w:val="00BF09D8"/>
    <w:rsid w:val="00BF293B"/>
    <w:rsid w:val="00BF395A"/>
    <w:rsid w:val="00BF4B60"/>
    <w:rsid w:val="00BF7449"/>
    <w:rsid w:val="00C00A35"/>
    <w:rsid w:val="00C00B34"/>
    <w:rsid w:val="00C00B36"/>
    <w:rsid w:val="00C011AD"/>
    <w:rsid w:val="00C046C6"/>
    <w:rsid w:val="00C115C4"/>
    <w:rsid w:val="00C11FE5"/>
    <w:rsid w:val="00C170E1"/>
    <w:rsid w:val="00C17149"/>
    <w:rsid w:val="00C21C9D"/>
    <w:rsid w:val="00C22515"/>
    <w:rsid w:val="00C22A71"/>
    <w:rsid w:val="00C22C08"/>
    <w:rsid w:val="00C239AB"/>
    <w:rsid w:val="00C243D9"/>
    <w:rsid w:val="00C26B81"/>
    <w:rsid w:val="00C329D8"/>
    <w:rsid w:val="00C33865"/>
    <w:rsid w:val="00C35126"/>
    <w:rsid w:val="00C371AC"/>
    <w:rsid w:val="00C37429"/>
    <w:rsid w:val="00C40BC4"/>
    <w:rsid w:val="00C41646"/>
    <w:rsid w:val="00C44929"/>
    <w:rsid w:val="00C45149"/>
    <w:rsid w:val="00C45864"/>
    <w:rsid w:val="00C46000"/>
    <w:rsid w:val="00C47CE9"/>
    <w:rsid w:val="00C50700"/>
    <w:rsid w:val="00C50F59"/>
    <w:rsid w:val="00C51C15"/>
    <w:rsid w:val="00C53167"/>
    <w:rsid w:val="00C6039F"/>
    <w:rsid w:val="00C61452"/>
    <w:rsid w:val="00C6273E"/>
    <w:rsid w:val="00C65549"/>
    <w:rsid w:val="00C70850"/>
    <w:rsid w:val="00C72168"/>
    <w:rsid w:val="00C73845"/>
    <w:rsid w:val="00C74D04"/>
    <w:rsid w:val="00C762A7"/>
    <w:rsid w:val="00C817B4"/>
    <w:rsid w:val="00C845E6"/>
    <w:rsid w:val="00C8495B"/>
    <w:rsid w:val="00C867E7"/>
    <w:rsid w:val="00C901A7"/>
    <w:rsid w:val="00C90C3B"/>
    <w:rsid w:val="00C91C6B"/>
    <w:rsid w:val="00C96224"/>
    <w:rsid w:val="00C964EA"/>
    <w:rsid w:val="00CA0389"/>
    <w:rsid w:val="00CA10CB"/>
    <w:rsid w:val="00CA6353"/>
    <w:rsid w:val="00CA7BC6"/>
    <w:rsid w:val="00CB14A4"/>
    <w:rsid w:val="00CB3295"/>
    <w:rsid w:val="00CB385A"/>
    <w:rsid w:val="00CB4EE8"/>
    <w:rsid w:val="00CB62A7"/>
    <w:rsid w:val="00CC4A29"/>
    <w:rsid w:val="00CC5D39"/>
    <w:rsid w:val="00CC62D0"/>
    <w:rsid w:val="00CD1802"/>
    <w:rsid w:val="00CD25DB"/>
    <w:rsid w:val="00CD295F"/>
    <w:rsid w:val="00CD2B01"/>
    <w:rsid w:val="00CD3C82"/>
    <w:rsid w:val="00CD64D2"/>
    <w:rsid w:val="00CE10AF"/>
    <w:rsid w:val="00CE123B"/>
    <w:rsid w:val="00CE14B8"/>
    <w:rsid w:val="00CE2799"/>
    <w:rsid w:val="00CE403B"/>
    <w:rsid w:val="00CE4091"/>
    <w:rsid w:val="00CE40AE"/>
    <w:rsid w:val="00CE66C2"/>
    <w:rsid w:val="00CF109B"/>
    <w:rsid w:val="00CF5C45"/>
    <w:rsid w:val="00CF7073"/>
    <w:rsid w:val="00CF7215"/>
    <w:rsid w:val="00D00E7A"/>
    <w:rsid w:val="00D01666"/>
    <w:rsid w:val="00D03CC6"/>
    <w:rsid w:val="00D12A22"/>
    <w:rsid w:val="00D13C4E"/>
    <w:rsid w:val="00D2009F"/>
    <w:rsid w:val="00D21BE8"/>
    <w:rsid w:val="00D24B76"/>
    <w:rsid w:val="00D255B9"/>
    <w:rsid w:val="00D32E32"/>
    <w:rsid w:val="00D335D6"/>
    <w:rsid w:val="00D352F8"/>
    <w:rsid w:val="00D4365F"/>
    <w:rsid w:val="00D46FBF"/>
    <w:rsid w:val="00D47A42"/>
    <w:rsid w:val="00D47FD3"/>
    <w:rsid w:val="00D52655"/>
    <w:rsid w:val="00D528B3"/>
    <w:rsid w:val="00D544AE"/>
    <w:rsid w:val="00D55062"/>
    <w:rsid w:val="00D5674D"/>
    <w:rsid w:val="00D623A7"/>
    <w:rsid w:val="00D639B1"/>
    <w:rsid w:val="00D655B5"/>
    <w:rsid w:val="00D6581A"/>
    <w:rsid w:val="00D67696"/>
    <w:rsid w:val="00D70BCE"/>
    <w:rsid w:val="00D70D53"/>
    <w:rsid w:val="00D768D5"/>
    <w:rsid w:val="00D779BF"/>
    <w:rsid w:val="00D81BA5"/>
    <w:rsid w:val="00D82F87"/>
    <w:rsid w:val="00D83EAB"/>
    <w:rsid w:val="00D84089"/>
    <w:rsid w:val="00D84E4E"/>
    <w:rsid w:val="00D87998"/>
    <w:rsid w:val="00D90E47"/>
    <w:rsid w:val="00D91017"/>
    <w:rsid w:val="00D946BA"/>
    <w:rsid w:val="00D9547A"/>
    <w:rsid w:val="00D95D1E"/>
    <w:rsid w:val="00D976D3"/>
    <w:rsid w:val="00DA429C"/>
    <w:rsid w:val="00DA7471"/>
    <w:rsid w:val="00DB2AB1"/>
    <w:rsid w:val="00DB691B"/>
    <w:rsid w:val="00DB6DAC"/>
    <w:rsid w:val="00DC11BE"/>
    <w:rsid w:val="00DC29B6"/>
    <w:rsid w:val="00DC615A"/>
    <w:rsid w:val="00DC7D9B"/>
    <w:rsid w:val="00DC7F8A"/>
    <w:rsid w:val="00DD242B"/>
    <w:rsid w:val="00DD3140"/>
    <w:rsid w:val="00DD3928"/>
    <w:rsid w:val="00DD4323"/>
    <w:rsid w:val="00DD6032"/>
    <w:rsid w:val="00DD69E3"/>
    <w:rsid w:val="00DE07CB"/>
    <w:rsid w:val="00DE1D78"/>
    <w:rsid w:val="00DE34FB"/>
    <w:rsid w:val="00DE795E"/>
    <w:rsid w:val="00DE7F2F"/>
    <w:rsid w:val="00DF010F"/>
    <w:rsid w:val="00DF052D"/>
    <w:rsid w:val="00DF5668"/>
    <w:rsid w:val="00DF6ACB"/>
    <w:rsid w:val="00E00ABC"/>
    <w:rsid w:val="00E033C2"/>
    <w:rsid w:val="00E04ABD"/>
    <w:rsid w:val="00E05EFE"/>
    <w:rsid w:val="00E06403"/>
    <w:rsid w:val="00E0650C"/>
    <w:rsid w:val="00E06600"/>
    <w:rsid w:val="00E11C7A"/>
    <w:rsid w:val="00E20C7D"/>
    <w:rsid w:val="00E22125"/>
    <w:rsid w:val="00E23F8A"/>
    <w:rsid w:val="00E274CA"/>
    <w:rsid w:val="00E302AA"/>
    <w:rsid w:val="00E329AD"/>
    <w:rsid w:val="00E343D6"/>
    <w:rsid w:val="00E35C29"/>
    <w:rsid w:val="00E36ADA"/>
    <w:rsid w:val="00E373C3"/>
    <w:rsid w:val="00E37878"/>
    <w:rsid w:val="00E4164B"/>
    <w:rsid w:val="00E421B0"/>
    <w:rsid w:val="00E42999"/>
    <w:rsid w:val="00E47473"/>
    <w:rsid w:val="00E54407"/>
    <w:rsid w:val="00E6012C"/>
    <w:rsid w:val="00E614AE"/>
    <w:rsid w:val="00E61C84"/>
    <w:rsid w:val="00E63774"/>
    <w:rsid w:val="00E66593"/>
    <w:rsid w:val="00E71ED3"/>
    <w:rsid w:val="00E80854"/>
    <w:rsid w:val="00E8187D"/>
    <w:rsid w:val="00E83BEF"/>
    <w:rsid w:val="00E86B8B"/>
    <w:rsid w:val="00E87DD3"/>
    <w:rsid w:val="00E90988"/>
    <w:rsid w:val="00E91865"/>
    <w:rsid w:val="00E9283F"/>
    <w:rsid w:val="00E94033"/>
    <w:rsid w:val="00EA0397"/>
    <w:rsid w:val="00EA186B"/>
    <w:rsid w:val="00EA1CE9"/>
    <w:rsid w:val="00EA28EB"/>
    <w:rsid w:val="00EA2939"/>
    <w:rsid w:val="00EA377E"/>
    <w:rsid w:val="00EA54F0"/>
    <w:rsid w:val="00EA58E6"/>
    <w:rsid w:val="00EB1B5D"/>
    <w:rsid w:val="00EB4A28"/>
    <w:rsid w:val="00EB518C"/>
    <w:rsid w:val="00EB591F"/>
    <w:rsid w:val="00EB603B"/>
    <w:rsid w:val="00EB655A"/>
    <w:rsid w:val="00EB680B"/>
    <w:rsid w:val="00EC15E2"/>
    <w:rsid w:val="00EC40A3"/>
    <w:rsid w:val="00EC43B8"/>
    <w:rsid w:val="00EC6783"/>
    <w:rsid w:val="00ED12D4"/>
    <w:rsid w:val="00ED1EEA"/>
    <w:rsid w:val="00ED3E51"/>
    <w:rsid w:val="00ED508E"/>
    <w:rsid w:val="00EE3F18"/>
    <w:rsid w:val="00EE72EA"/>
    <w:rsid w:val="00EE76A4"/>
    <w:rsid w:val="00EF0E27"/>
    <w:rsid w:val="00EF4B57"/>
    <w:rsid w:val="00EF6F88"/>
    <w:rsid w:val="00EF729E"/>
    <w:rsid w:val="00EF7B9D"/>
    <w:rsid w:val="00F000A1"/>
    <w:rsid w:val="00F009DA"/>
    <w:rsid w:val="00F00ED5"/>
    <w:rsid w:val="00F01FD2"/>
    <w:rsid w:val="00F03329"/>
    <w:rsid w:val="00F0701F"/>
    <w:rsid w:val="00F119F9"/>
    <w:rsid w:val="00F12267"/>
    <w:rsid w:val="00F14B1F"/>
    <w:rsid w:val="00F16C14"/>
    <w:rsid w:val="00F17853"/>
    <w:rsid w:val="00F203A1"/>
    <w:rsid w:val="00F2102C"/>
    <w:rsid w:val="00F212BB"/>
    <w:rsid w:val="00F21B2C"/>
    <w:rsid w:val="00F2252D"/>
    <w:rsid w:val="00F23C1B"/>
    <w:rsid w:val="00F268C0"/>
    <w:rsid w:val="00F26B51"/>
    <w:rsid w:val="00F27A6C"/>
    <w:rsid w:val="00F30407"/>
    <w:rsid w:val="00F31EDA"/>
    <w:rsid w:val="00F371E1"/>
    <w:rsid w:val="00F43C77"/>
    <w:rsid w:val="00F45F8E"/>
    <w:rsid w:val="00F51E39"/>
    <w:rsid w:val="00F53B18"/>
    <w:rsid w:val="00F53FFF"/>
    <w:rsid w:val="00F54703"/>
    <w:rsid w:val="00F55D15"/>
    <w:rsid w:val="00F56325"/>
    <w:rsid w:val="00F56529"/>
    <w:rsid w:val="00F569EE"/>
    <w:rsid w:val="00F56BAA"/>
    <w:rsid w:val="00F63EA1"/>
    <w:rsid w:val="00F65626"/>
    <w:rsid w:val="00F668CB"/>
    <w:rsid w:val="00F7022E"/>
    <w:rsid w:val="00F7117F"/>
    <w:rsid w:val="00F72164"/>
    <w:rsid w:val="00F738AA"/>
    <w:rsid w:val="00F75C91"/>
    <w:rsid w:val="00F76339"/>
    <w:rsid w:val="00F81740"/>
    <w:rsid w:val="00F835A8"/>
    <w:rsid w:val="00F84439"/>
    <w:rsid w:val="00F84DE9"/>
    <w:rsid w:val="00F8607B"/>
    <w:rsid w:val="00F93D16"/>
    <w:rsid w:val="00F954FF"/>
    <w:rsid w:val="00F957B7"/>
    <w:rsid w:val="00FA0AA7"/>
    <w:rsid w:val="00FA1042"/>
    <w:rsid w:val="00FA3675"/>
    <w:rsid w:val="00FB5C5F"/>
    <w:rsid w:val="00FB63ED"/>
    <w:rsid w:val="00FB7696"/>
    <w:rsid w:val="00FC0D54"/>
    <w:rsid w:val="00FC45E8"/>
    <w:rsid w:val="00FC4C95"/>
    <w:rsid w:val="00FC5228"/>
    <w:rsid w:val="00FC71D1"/>
    <w:rsid w:val="00FD3585"/>
    <w:rsid w:val="00FD5A6D"/>
    <w:rsid w:val="00FE22CC"/>
    <w:rsid w:val="00FE40A8"/>
    <w:rsid w:val="00FE41ED"/>
    <w:rsid w:val="00FE601E"/>
    <w:rsid w:val="00FE6C41"/>
    <w:rsid w:val="00FF16B3"/>
    <w:rsid w:val="00FF189C"/>
    <w:rsid w:val="00FF214F"/>
    <w:rsid w:val="00FF4DD0"/>
    <w:rsid w:val="00FF64DB"/>
    <w:rsid w:val="00FF716A"/>
    <w:rsid w:val="02C42195"/>
    <w:rsid w:val="05121213"/>
    <w:rsid w:val="0D0B3103"/>
    <w:rsid w:val="149369E3"/>
    <w:rsid w:val="17CC6E22"/>
    <w:rsid w:val="186841FF"/>
    <w:rsid w:val="1A1677C1"/>
    <w:rsid w:val="1C3B111D"/>
    <w:rsid w:val="20F72708"/>
    <w:rsid w:val="250F459C"/>
    <w:rsid w:val="39995508"/>
    <w:rsid w:val="3D651205"/>
    <w:rsid w:val="42056B7D"/>
    <w:rsid w:val="45AE1D45"/>
    <w:rsid w:val="4E34314D"/>
    <w:rsid w:val="514C62EE"/>
    <w:rsid w:val="56C00E90"/>
    <w:rsid w:val="5BBD5BD0"/>
    <w:rsid w:val="5E1C5002"/>
    <w:rsid w:val="68B92D82"/>
    <w:rsid w:val="6F8714C0"/>
    <w:rsid w:val="712B4A0C"/>
    <w:rsid w:val="732F5E8F"/>
    <w:rsid w:val="7EDD22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Times New Roman" w:hAnsi="Times New Roman" w:eastAsia="宋体" w:cs="Times New Roman"/>
      <w:kern w:val="2"/>
      <w:sz w:val="24"/>
      <w:szCs w:val="24"/>
      <w:lang w:val="en-US" w:eastAsia="zh-CN" w:bidi="ar-SA"/>
    </w:rPr>
  </w:style>
  <w:style w:type="paragraph" w:styleId="3">
    <w:name w:val="heading 1"/>
    <w:basedOn w:val="1"/>
    <w:next w:val="1"/>
    <w:link w:val="25"/>
    <w:qFormat/>
    <w:uiPriority w:val="0"/>
    <w:pPr>
      <w:keepNext/>
      <w:keepLines/>
      <w:widowControl/>
      <w:spacing w:before="340" w:after="330" w:line="578" w:lineRule="atLeast"/>
      <w:jc w:val="left"/>
      <w:outlineLvl w:val="0"/>
    </w:pPr>
    <w:rPr>
      <w:b/>
      <w:bCs/>
      <w:kern w:val="44"/>
      <w:sz w:val="44"/>
      <w:szCs w:val="44"/>
    </w:rPr>
  </w:style>
  <w:style w:type="paragraph" w:styleId="4">
    <w:name w:val="heading 2"/>
    <w:basedOn w:val="1"/>
    <w:next w:val="1"/>
    <w:link w:val="27"/>
    <w:qFormat/>
    <w:uiPriority w:val="0"/>
    <w:pPr>
      <w:keepNext/>
      <w:keepLines/>
      <w:widowControl/>
      <w:spacing w:before="260" w:after="260" w:line="416" w:lineRule="atLeast"/>
      <w:jc w:val="left"/>
      <w:outlineLvl w:val="1"/>
    </w:pPr>
    <w:rPr>
      <w:rFonts w:ascii="Arial" w:hAnsi="Arial" w:eastAsia="黑体"/>
      <w:b/>
      <w:bCs/>
      <w:sz w:val="32"/>
      <w:szCs w:val="32"/>
    </w:rPr>
  </w:style>
  <w:style w:type="paragraph" w:styleId="5">
    <w:name w:val="heading 3"/>
    <w:basedOn w:val="1"/>
    <w:next w:val="1"/>
    <w:link w:val="26"/>
    <w:qFormat/>
    <w:uiPriority w:val="9"/>
    <w:pPr>
      <w:keepNext/>
      <w:keepLines/>
      <w:spacing w:before="260" w:after="260" w:line="416" w:lineRule="auto"/>
      <w:outlineLvl w:val="2"/>
    </w:pPr>
    <w:rPr>
      <w:b/>
      <w:bCs/>
      <w:sz w:val="32"/>
      <w:szCs w:val="32"/>
    </w:rPr>
  </w:style>
  <w:style w:type="character" w:default="1" w:styleId="15">
    <w:name w:val="Default Paragraph Font"/>
    <w:semiHidden/>
    <w:unhideWhenUsed/>
    <w:uiPriority w:val="1"/>
  </w:style>
  <w:style w:type="table" w:default="1" w:styleId="17">
    <w:name w:val="Normal Table"/>
    <w:semiHidden/>
    <w:unhideWhenUsed/>
    <w:qFormat/>
    <w:uiPriority w:val="99"/>
    <w:tblPr>
      <w:tblLayout w:type="fixed"/>
      <w:tblCellMar>
        <w:top w:w="0" w:type="dxa"/>
        <w:left w:w="108" w:type="dxa"/>
        <w:bottom w:w="0" w:type="dxa"/>
        <w:right w:w="108" w:type="dxa"/>
      </w:tblCellMar>
    </w:tblPr>
  </w:style>
  <w:style w:type="paragraph" w:styleId="2">
    <w:name w:val="Plain Text"/>
    <w:basedOn w:val="1"/>
    <w:link w:val="18"/>
    <w:qFormat/>
    <w:uiPriority w:val="0"/>
    <w:pPr>
      <w:spacing w:line="240" w:lineRule="auto"/>
    </w:pPr>
    <w:rPr>
      <w:rFonts w:ascii="宋体" w:hAnsi="Courier New"/>
      <w:kern w:val="0"/>
      <w:sz w:val="20"/>
      <w:szCs w:val="20"/>
    </w:rPr>
  </w:style>
  <w:style w:type="paragraph" w:styleId="6">
    <w:name w:val="annotation text"/>
    <w:basedOn w:val="1"/>
    <w:link w:val="19"/>
    <w:qFormat/>
    <w:uiPriority w:val="99"/>
    <w:pPr>
      <w:spacing w:line="240" w:lineRule="auto"/>
      <w:jc w:val="left"/>
    </w:pPr>
    <w:rPr>
      <w:sz w:val="21"/>
      <w:szCs w:val="20"/>
    </w:rPr>
  </w:style>
  <w:style w:type="paragraph" w:styleId="7">
    <w:name w:val="Body Text Indent"/>
    <w:basedOn w:val="1"/>
    <w:link w:val="22"/>
    <w:qFormat/>
    <w:uiPriority w:val="0"/>
    <w:pPr>
      <w:spacing w:after="120" w:line="240" w:lineRule="auto"/>
      <w:ind w:left="420" w:leftChars="200"/>
    </w:pPr>
    <w:rPr>
      <w:sz w:val="21"/>
    </w:rPr>
  </w:style>
  <w:style w:type="paragraph" w:styleId="8">
    <w:name w:val="Date"/>
    <w:basedOn w:val="1"/>
    <w:next w:val="1"/>
    <w:link w:val="24"/>
    <w:unhideWhenUsed/>
    <w:qFormat/>
    <w:uiPriority w:val="99"/>
    <w:pPr>
      <w:ind w:left="100" w:leftChars="2500"/>
    </w:pPr>
  </w:style>
  <w:style w:type="paragraph" w:styleId="9">
    <w:name w:val="Balloon Text"/>
    <w:basedOn w:val="1"/>
    <w:link w:val="28"/>
    <w:unhideWhenUsed/>
    <w:qFormat/>
    <w:uiPriority w:val="99"/>
    <w:pPr>
      <w:spacing w:line="240" w:lineRule="auto"/>
    </w:pPr>
    <w:rPr>
      <w:kern w:val="0"/>
      <w:sz w:val="18"/>
      <w:szCs w:val="18"/>
    </w:rPr>
  </w:style>
  <w:style w:type="paragraph" w:styleId="10">
    <w:name w:val="footer"/>
    <w:basedOn w:val="1"/>
    <w:link w:val="20"/>
    <w:unhideWhenUsed/>
    <w:qFormat/>
    <w:uiPriority w:val="99"/>
    <w:pPr>
      <w:tabs>
        <w:tab w:val="center" w:pos="4153"/>
        <w:tab w:val="right" w:pos="8306"/>
      </w:tabs>
      <w:snapToGrid w:val="0"/>
      <w:spacing w:line="240" w:lineRule="auto"/>
      <w:jc w:val="left"/>
    </w:pPr>
    <w:rPr>
      <w:kern w:val="0"/>
      <w:sz w:val="18"/>
      <w:szCs w:val="18"/>
    </w:rPr>
  </w:style>
  <w:style w:type="paragraph" w:styleId="11">
    <w:name w:val="header"/>
    <w:basedOn w:val="1"/>
    <w:link w:val="29"/>
    <w:unhideWhenUsed/>
    <w:qFormat/>
    <w:uiPriority w:val="99"/>
    <w:pPr>
      <w:pBdr>
        <w:bottom w:val="single" w:color="auto" w:sz="6" w:space="1"/>
      </w:pBdr>
      <w:tabs>
        <w:tab w:val="center" w:pos="4153"/>
        <w:tab w:val="right" w:pos="8306"/>
      </w:tabs>
      <w:snapToGrid w:val="0"/>
      <w:spacing w:line="240" w:lineRule="auto"/>
      <w:jc w:val="center"/>
    </w:pPr>
    <w:rPr>
      <w:kern w:val="0"/>
      <w:sz w:val="18"/>
      <w:szCs w:val="18"/>
    </w:rPr>
  </w:style>
  <w:style w:type="paragraph" w:styleId="12">
    <w:name w:val="toc 1"/>
    <w:basedOn w:val="1"/>
    <w:next w:val="1"/>
    <w:qFormat/>
    <w:uiPriority w:val="39"/>
  </w:style>
  <w:style w:type="paragraph" w:styleId="13">
    <w:name w:val="toc 2"/>
    <w:basedOn w:val="1"/>
    <w:next w:val="1"/>
    <w:unhideWhenUsed/>
    <w:qFormat/>
    <w:uiPriority w:val="39"/>
    <w:pPr>
      <w:ind w:left="420" w:leftChars="200"/>
    </w:pPr>
  </w:style>
  <w:style w:type="paragraph" w:styleId="14">
    <w:name w:val="Title"/>
    <w:basedOn w:val="1"/>
    <w:next w:val="1"/>
    <w:link w:val="30"/>
    <w:qFormat/>
    <w:uiPriority w:val="99"/>
    <w:pPr>
      <w:spacing w:before="240" w:after="60" w:line="240" w:lineRule="auto"/>
      <w:jc w:val="center"/>
      <w:outlineLvl w:val="0"/>
    </w:pPr>
    <w:rPr>
      <w:rFonts w:ascii="Cambria" w:hAnsi="Cambria"/>
      <w:b/>
      <w:bCs/>
      <w:sz w:val="32"/>
      <w:szCs w:val="32"/>
    </w:rPr>
  </w:style>
  <w:style w:type="character" w:styleId="16">
    <w:name w:val="Hyperlink"/>
    <w:qFormat/>
    <w:uiPriority w:val="99"/>
    <w:rPr>
      <w:color w:val="0000FF"/>
      <w:u w:val="single"/>
    </w:rPr>
  </w:style>
  <w:style w:type="character" w:customStyle="1" w:styleId="18">
    <w:name w:val="纯文本 Char1"/>
    <w:link w:val="2"/>
    <w:qFormat/>
    <w:uiPriority w:val="0"/>
    <w:rPr>
      <w:rFonts w:ascii="宋体" w:hAnsi="Courier New"/>
    </w:rPr>
  </w:style>
  <w:style w:type="character" w:customStyle="1" w:styleId="19">
    <w:name w:val="批注文字 Char"/>
    <w:link w:val="6"/>
    <w:qFormat/>
    <w:uiPriority w:val="99"/>
    <w:rPr>
      <w:rFonts w:ascii="Times New Roman" w:hAnsi="Times New Roman"/>
      <w:kern w:val="2"/>
      <w:sz w:val="21"/>
    </w:rPr>
  </w:style>
  <w:style w:type="character" w:customStyle="1" w:styleId="20">
    <w:name w:val="页脚 Char"/>
    <w:link w:val="10"/>
    <w:qFormat/>
    <w:uiPriority w:val="99"/>
    <w:rPr>
      <w:rFonts w:ascii="Times New Roman" w:hAnsi="Times New Roman" w:eastAsia="宋体" w:cs="Times New Roman"/>
      <w:sz w:val="18"/>
      <w:szCs w:val="18"/>
    </w:rPr>
  </w:style>
  <w:style w:type="character" w:customStyle="1" w:styleId="21">
    <w:name w:val="纯文本 Char"/>
    <w:semiHidden/>
    <w:qFormat/>
    <w:uiPriority w:val="99"/>
    <w:rPr>
      <w:rFonts w:ascii="宋体" w:hAnsi="Courier New" w:cs="Courier New"/>
      <w:kern w:val="2"/>
      <w:sz w:val="21"/>
      <w:szCs w:val="21"/>
    </w:rPr>
  </w:style>
  <w:style w:type="character" w:customStyle="1" w:styleId="22">
    <w:name w:val="正文文本缩进 Char"/>
    <w:link w:val="7"/>
    <w:qFormat/>
    <w:uiPriority w:val="0"/>
    <w:rPr>
      <w:rFonts w:ascii="Times New Roman" w:hAnsi="Times New Roman"/>
      <w:kern w:val="2"/>
      <w:sz w:val="21"/>
      <w:szCs w:val="24"/>
    </w:rPr>
  </w:style>
  <w:style w:type="character" w:customStyle="1" w:styleId="23">
    <w:name w:val="重点强调内容"/>
    <w:qFormat/>
    <w:uiPriority w:val="0"/>
    <w:rPr>
      <w:rFonts w:ascii="Times New Roman" w:hAnsi="Times New Roman" w:eastAsia="宋体"/>
      <w:b/>
      <w:u w:val="single"/>
    </w:rPr>
  </w:style>
  <w:style w:type="character" w:customStyle="1" w:styleId="24">
    <w:name w:val="日期 Char"/>
    <w:link w:val="8"/>
    <w:semiHidden/>
    <w:qFormat/>
    <w:uiPriority w:val="99"/>
    <w:rPr>
      <w:rFonts w:ascii="Times New Roman" w:hAnsi="Times New Roman"/>
      <w:kern w:val="2"/>
      <w:sz w:val="24"/>
      <w:szCs w:val="24"/>
    </w:rPr>
  </w:style>
  <w:style w:type="character" w:customStyle="1" w:styleId="25">
    <w:name w:val="标题 1 Char"/>
    <w:link w:val="3"/>
    <w:qFormat/>
    <w:uiPriority w:val="0"/>
    <w:rPr>
      <w:rFonts w:ascii="Times New Roman" w:hAnsi="Times New Roman"/>
      <w:b/>
      <w:bCs/>
      <w:kern w:val="44"/>
      <w:sz w:val="44"/>
      <w:szCs w:val="44"/>
    </w:rPr>
  </w:style>
  <w:style w:type="character" w:customStyle="1" w:styleId="26">
    <w:name w:val="标题 3 Char"/>
    <w:link w:val="5"/>
    <w:semiHidden/>
    <w:qFormat/>
    <w:uiPriority w:val="9"/>
    <w:rPr>
      <w:rFonts w:ascii="Times New Roman" w:hAnsi="Times New Roman"/>
      <w:b/>
      <w:bCs/>
      <w:kern w:val="2"/>
      <w:sz w:val="32"/>
      <w:szCs w:val="32"/>
    </w:rPr>
  </w:style>
  <w:style w:type="character" w:customStyle="1" w:styleId="27">
    <w:name w:val="标题 2 Char"/>
    <w:link w:val="4"/>
    <w:qFormat/>
    <w:uiPriority w:val="0"/>
    <w:rPr>
      <w:rFonts w:ascii="Arial" w:hAnsi="Arial" w:eastAsia="黑体"/>
      <w:b/>
      <w:bCs/>
      <w:kern w:val="2"/>
      <w:sz w:val="32"/>
      <w:szCs w:val="32"/>
    </w:rPr>
  </w:style>
  <w:style w:type="character" w:customStyle="1" w:styleId="28">
    <w:name w:val="批注框文本 Char"/>
    <w:link w:val="9"/>
    <w:semiHidden/>
    <w:qFormat/>
    <w:uiPriority w:val="99"/>
    <w:rPr>
      <w:rFonts w:ascii="Times New Roman" w:hAnsi="Times New Roman" w:eastAsia="宋体" w:cs="Times New Roman"/>
      <w:sz w:val="18"/>
      <w:szCs w:val="18"/>
    </w:rPr>
  </w:style>
  <w:style w:type="character" w:customStyle="1" w:styleId="29">
    <w:name w:val="页眉 Char"/>
    <w:link w:val="11"/>
    <w:qFormat/>
    <w:uiPriority w:val="99"/>
    <w:rPr>
      <w:rFonts w:ascii="Times New Roman" w:hAnsi="Times New Roman" w:eastAsia="宋体" w:cs="Times New Roman"/>
      <w:sz w:val="18"/>
      <w:szCs w:val="18"/>
    </w:rPr>
  </w:style>
  <w:style w:type="character" w:customStyle="1" w:styleId="30">
    <w:name w:val="标题 Char"/>
    <w:link w:val="14"/>
    <w:qFormat/>
    <w:uiPriority w:val="99"/>
    <w:rPr>
      <w:rFonts w:ascii="Cambria" w:hAnsi="Cambria"/>
      <w:b/>
      <w:bCs/>
      <w:kern w:val="2"/>
      <w:sz w:val="32"/>
      <w:szCs w:val="32"/>
    </w:rPr>
  </w:style>
  <w:style w:type="paragraph" w:customStyle="1" w:styleId="31">
    <w:name w:val="Body Text Indent1"/>
    <w:basedOn w:val="1"/>
    <w:qFormat/>
    <w:uiPriority w:val="0"/>
    <w:pPr>
      <w:spacing w:after="120" w:line="240" w:lineRule="auto"/>
      <w:ind w:left="420" w:leftChars="200"/>
    </w:pPr>
    <w:rPr>
      <w:sz w:val="21"/>
    </w:rPr>
  </w:style>
  <w:style w:type="paragraph" w:customStyle="1" w:styleId="32">
    <w:name w:val="列出段落1"/>
    <w:basedOn w:val="1"/>
    <w:unhideWhenUsed/>
    <w:qFormat/>
    <w:uiPriority w:val="99"/>
    <w:pPr>
      <w:ind w:firstLine="420" w:firstLineChars="200"/>
    </w:pPr>
  </w:style>
  <w:style w:type="paragraph" w:customStyle="1" w:styleId="33">
    <w:name w:val="正文 New New New New New New New New New New New New New New New New New New"/>
    <w:qFormat/>
    <w:uiPriority w:val="99"/>
    <w:pPr>
      <w:widowControl w:val="0"/>
      <w:jc w:val="both"/>
    </w:pPr>
    <w:rPr>
      <w:rFonts w:ascii="Times New Roman" w:hAnsi="Times New Roman" w:eastAsia="宋体" w:cs="Times New Roman"/>
      <w:kern w:val="2"/>
      <w:sz w:val="21"/>
      <w:lang w:val="en-US" w:eastAsia="zh-CN" w:bidi="ar-SA"/>
    </w:rPr>
  </w:style>
  <w:style w:type="paragraph" w:customStyle="1" w:styleId="34">
    <w:name w:val="正文 New New New New New New New New New New New New New New New"/>
    <w:uiPriority w:val="99"/>
    <w:pPr>
      <w:widowControl w:val="0"/>
      <w:jc w:val="both"/>
    </w:pPr>
    <w:rPr>
      <w:rFonts w:ascii="Times New Roman" w:hAnsi="Times New Roman" w:eastAsia="宋体" w:cs="Times New Roman"/>
      <w:kern w:val="2"/>
      <w:sz w:val="21"/>
      <w:lang w:val="en-US" w:eastAsia="zh-CN" w:bidi="ar-SA"/>
    </w:rPr>
  </w:style>
  <w:style w:type="paragraph" w:customStyle="1" w:styleId="35">
    <w:name w:val="纯文本1"/>
    <w:basedOn w:val="1"/>
    <w:qFormat/>
    <w:uiPriority w:val="99"/>
    <w:pPr>
      <w:widowControl/>
      <w:adjustRightInd w:val="0"/>
      <w:jc w:val="left"/>
      <w:textAlignment w:val="baseline"/>
    </w:pPr>
    <w:rPr>
      <w:rFonts w:ascii="宋体" w:hAnsi="Courier New" w:cs="Courier New"/>
      <w:szCs w:val="21"/>
    </w:rPr>
  </w:style>
  <w:style w:type="paragraph" w:customStyle="1" w:styleId="36">
    <w:name w:val="表头"/>
    <w:basedOn w:val="37"/>
    <w:qFormat/>
    <w:uiPriority w:val="0"/>
    <w:pPr>
      <w:jc w:val="center"/>
    </w:pPr>
    <w:rPr>
      <w:b/>
    </w:rPr>
  </w:style>
  <w:style w:type="paragraph" w:customStyle="1" w:styleId="37">
    <w:name w:val="表格正文"/>
    <w:basedOn w:val="1"/>
    <w:qFormat/>
    <w:uiPriority w:val="0"/>
    <w:pPr>
      <w:spacing w:line="240" w:lineRule="auto"/>
    </w:pPr>
    <w:rPr>
      <w:rFonts w:eastAsia="黑体"/>
      <w:sz w:val="21"/>
      <w:szCs w:val="20"/>
    </w:rPr>
  </w:style>
  <w:style w:type="paragraph" w:customStyle="1" w:styleId="38">
    <w:name w:val="列出段落2"/>
    <w:basedOn w:val="1"/>
    <w:unhideWhenUsed/>
    <w:qFormat/>
    <w:uiPriority w:val="99"/>
    <w:pPr>
      <w:ind w:firstLine="420" w:firstLineChars="200"/>
    </w:pPr>
  </w:style>
  <w:style w:type="paragraph" w:customStyle="1" w:styleId="39">
    <w:name w:val="列出段落11"/>
    <w:basedOn w:val="1"/>
    <w:qFormat/>
    <w:uiPriority w:val="0"/>
    <w:pPr>
      <w:widowControl/>
      <w:spacing w:after="200" w:line="276" w:lineRule="auto"/>
      <w:ind w:left="720"/>
      <w:contextualSpacing/>
      <w:jc w:val="left"/>
    </w:pPr>
    <w:rPr>
      <w:rFonts w:ascii="Calibri" w:hAnsi="Calibri"/>
      <w:kern w:val="0"/>
      <w:sz w:val="22"/>
    </w:rPr>
  </w:style>
  <w:style w:type="paragraph" w:customStyle="1" w:styleId="40">
    <w:name w:val="Plain Text1"/>
    <w:basedOn w:val="1"/>
    <w:qFormat/>
    <w:uiPriority w:val="0"/>
    <w:pPr>
      <w:spacing w:line="240" w:lineRule="auto"/>
    </w:pPr>
    <w:rPr>
      <w:rFonts w:ascii="宋体" w:hAnsi="Courier New"/>
      <w:sz w:val="21"/>
    </w:rPr>
  </w:style>
  <w:style w:type="paragraph" w:styleId="4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1115</Words>
  <Characters>6359</Characters>
  <Lines>52</Lines>
  <Paragraphs>14</Paragraphs>
  <TotalTime>0</TotalTime>
  <ScaleCrop>false</ScaleCrop>
  <LinksUpToDate>false</LinksUpToDate>
  <CharactersWithSpaces>7460</CharactersWithSpaces>
  <Application>WPS Office_10.8.2.6990_F1E327BC-269C-435d-A152-05C5408002CA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2020-02-21T00:54:00Z</dcterms:created>
  <dc:creator>xyy</dc:creator>
  <cp:lastModifiedBy>徐运一</cp:lastModifiedBy>
  <cp:lastPrinted>2020-03-25T10:30:00Z</cp:lastPrinted>
  <dcterms:modified xsi:type="dcterms:W3CDTF">2020-08-06T00:45:22Z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