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120"/>
        <w:jc w:val="center"/>
        <w:rPr>
          <w:sz w:val="32"/>
          <w:szCs w:val="32"/>
        </w:rPr>
      </w:pPr>
      <w:r>
        <w:rPr>
          <w:rFonts w:hint="eastAsia"/>
          <w:sz w:val="32"/>
          <w:szCs w:val="32"/>
        </w:rPr>
        <w:t>用户需求书</w:t>
      </w:r>
    </w:p>
    <w:p>
      <w:pPr>
        <w:rPr>
          <w:b/>
        </w:rPr>
      </w:pPr>
      <w:r>
        <w:rPr>
          <w:rFonts w:hint="eastAsia"/>
          <w:b/>
        </w:rPr>
        <w:t>一、概况</w:t>
      </w:r>
    </w:p>
    <w:p>
      <w:pPr>
        <w:ind w:firstLine="630" w:firstLineChars="300"/>
      </w:pPr>
      <w:r>
        <w:rPr>
          <w:rFonts w:hint="eastAsia" w:ascii="宋体" w:hAnsi="宋体"/>
          <w:color w:val="000000"/>
          <w:kern w:val="58"/>
          <w:sz w:val="21"/>
          <w:szCs w:val="20"/>
        </w:rPr>
        <w:t>为改善车站公共区域洗手间异味情况，提升车站环境和服务质量，拟申请对已开通的重点车站的公共区域洗手间安装空气净化装置，并定期添加净化器补充剂，保证除味效果。</w:t>
      </w:r>
    </w:p>
    <w:p>
      <w:pPr>
        <w:rPr>
          <w:b/>
        </w:rPr>
      </w:pPr>
      <w:bookmarkStart w:id="0" w:name="_Toc30181"/>
      <w:r>
        <w:rPr>
          <w:rFonts w:hint="eastAsia"/>
          <w:b/>
        </w:rPr>
        <w:t>二、项目范围</w:t>
      </w:r>
      <w:bookmarkEnd w:id="0"/>
    </w:p>
    <w:p>
      <w:pPr>
        <w:rPr>
          <w:bCs/>
        </w:rPr>
      </w:pPr>
      <w:r>
        <w:rPr>
          <w:rFonts w:hint="eastAsia"/>
          <w:bCs/>
        </w:rPr>
        <w:t>1、项目内容</w:t>
      </w:r>
    </w:p>
    <w:p>
      <w:pPr>
        <w:ind w:firstLine="630" w:firstLineChars="300"/>
        <w:rPr>
          <w:rFonts w:hint="eastAsia" w:ascii="宋体" w:hAnsi="宋体"/>
          <w:color w:val="000000"/>
          <w:kern w:val="58"/>
          <w:sz w:val="21"/>
          <w:szCs w:val="20"/>
        </w:rPr>
      </w:pPr>
      <w:r>
        <w:rPr>
          <w:rFonts w:hint="eastAsia" w:ascii="宋体" w:hAnsi="宋体"/>
          <w:color w:val="000000"/>
          <w:kern w:val="58"/>
          <w:sz w:val="21"/>
          <w:szCs w:val="20"/>
        </w:rPr>
        <w:t>项目针对12个车站公共区域厕所安装24台空气净化装置。</w:t>
      </w:r>
      <w:r>
        <w:rPr>
          <w:rFonts w:hint="eastAsia" w:ascii="宋体" w:hAnsi="宋体"/>
          <w:color w:val="000000"/>
          <w:kern w:val="58"/>
          <w:sz w:val="21"/>
          <w:szCs w:val="20"/>
          <w:lang w:eastAsia="zh-CN"/>
        </w:rPr>
        <w:t>具体安装位置：</w:t>
      </w:r>
      <w:r>
        <w:rPr>
          <w:rFonts w:hint="eastAsia" w:ascii="宋体" w:hAnsi="宋体"/>
          <w:color w:val="000000"/>
          <w:kern w:val="58"/>
          <w:sz w:val="21"/>
          <w:szCs w:val="20"/>
        </w:rPr>
        <w:t>樱花公园站、海晏北路站、福庆北路站、外滩大桥站、倪家堰站、城隍庙站、体育馆站、钱湖北路站、四明中路站、鄞州区政府站、南部商务区站、鄞州客运总站</w:t>
      </w:r>
      <w:r>
        <w:rPr>
          <w:rFonts w:hint="eastAsia" w:ascii="宋体" w:hAnsi="宋体"/>
          <w:color w:val="000000"/>
          <w:kern w:val="58"/>
          <w:sz w:val="21"/>
          <w:szCs w:val="20"/>
          <w:lang w:eastAsia="zh-CN"/>
        </w:rPr>
        <w:t>。</w:t>
      </w:r>
    </w:p>
    <w:p>
      <w:pPr>
        <w:rPr>
          <w:bCs/>
        </w:rPr>
      </w:pPr>
      <w:r>
        <w:rPr>
          <w:rFonts w:hint="eastAsia"/>
          <w:bCs/>
        </w:rPr>
        <w:t>2、项目需求清单</w:t>
      </w:r>
    </w:p>
    <w:tbl>
      <w:tblPr>
        <w:tblStyle w:val="6"/>
        <w:tblW w:w="10065" w:type="dxa"/>
        <w:tblInd w:w="-26" w:type="dxa"/>
        <w:tblLayout w:type="fixed"/>
        <w:tblCellMar>
          <w:top w:w="0" w:type="dxa"/>
          <w:left w:w="108" w:type="dxa"/>
          <w:bottom w:w="0" w:type="dxa"/>
          <w:right w:w="108" w:type="dxa"/>
        </w:tblCellMar>
      </w:tblPr>
      <w:tblGrid>
        <w:gridCol w:w="652"/>
        <w:gridCol w:w="1266"/>
        <w:gridCol w:w="3335"/>
        <w:gridCol w:w="852"/>
        <w:gridCol w:w="1226"/>
        <w:gridCol w:w="1504"/>
        <w:gridCol w:w="1108"/>
        <w:gridCol w:w="122"/>
      </w:tblGrid>
      <w:tr>
        <w:tblPrEx>
          <w:tblLayout w:type="fixed"/>
        </w:tblPrEx>
        <w:trPr>
          <w:gridAfter w:val="1"/>
          <w:wAfter w:w="122" w:type="dxa"/>
          <w:trHeight w:val="285" w:hRule="atLeast"/>
        </w:trPr>
        <w:tc>
          <w:tcPr>
            <w:tcW w:w="9943" w:type="dxa"/>
            <w:gridSpan w:val="7"/>
            <w:tcBorders>
              <w:top w:val="nil"/>
              <w:left w:val="nil"/>
              <w:bottom w:val="single" w:color="000000" w:sz="8" w:space="0"/>
              <w:right w:val="nil"/>
            </w:tcBorders>
            <w:shd w:val="clear" w:color="auto" w:fill="auto"/>
            <w:vAlign w:val="center"/>
          </w:tcPr>
          <w:p>
            <w:pPr>
              <w:jc w:val="center"/>
              <w:rPr>
                <w:rFonts w:ascii="宋体" w:hAnsi="宋体"/>
                <w:color w:val="000000"/>
                <w:kern w:val="58"/>
                <w:sz w:val="21"/>
                <w:szCs w:val="20"/>
              </w:rPr>
            </w:pPr>
            <w:r>
              <w:rPr>
                <w:rFonts w:hint="eastAsia" w:ascii="宋体" w:hAnsi="宋体"/>
                <w:color w:val="000000"/>
                <w:kern w:val="58"/>
                <w:sz w:val="21"/>
                <w:szCs w:val="20"/>
              </w:rPr>
              <w:t>车站公共区域卫生间空气净化装置清单</w:t>
            </w:r>
          </w:p>
        </w:tc>
      </w:tr>
      <w:tr>
        <w:tblPrEx>
          <w:tblLayout w:type="fixed"/>
        </w:tblPrEx>
        <w:trPr>
          <w:trHeight w:val="1020" w:hRule="atLeast"/>
        </w:trPr>
        <w:tc>
          <w:tcPr>
            <w:tcW w:w="652" w:type="dxa"/>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color w:val="000000"/>
                <w:kern w:val="58"/>
                <w:sz w:val="21"/>
                <w:szCs w:val="20"/>
              </w:rPr>
            </w:pPr>
            <w:r>
              <w:rPr>
                <w:rFonts w:hint="eastAsia" w:ascii="宋体" w:hAnsi="宋体"/>
                <w:color w:val="000000"/>
                <w:kern w:val="58"/>
                <w:sz w:val="21"/>
                <w:szCs w:val="20"/>
              </w:rPr>
              <w:t>序号</w:t>
            </w:r>
          </w:p>
        </w:tc>
        <w:tc>
          <w:tcPr>
            <w:tcW w:w="1266" w:type="dxa"/>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color w:val="000000"/>
                <w:kern w:val="58"/>
                <w:sz w:val="21"/>
                <w:szCs w:val="20"/>
              </w:rPr>
            </w:pPr>
            <w:r>
              <w:rPr>
                <w:rFonts w:hint="eastAsia" w:ascii="宋体" w:hAnsi="宋体"/>
                <w:color w:val="000000"/>
                <w:kern w:val="58"/>
                <w:sz w:val="21"/>
                <w:szCs w:val="20"/>
              </w:rPr>
              <w:t>品名</w:t>
            </w:r>
          </w:p>
        </w:tc>
        <w:tc>
          <w:tcPr>
            <w:tcW w:w="3335" w:type="dxa"/>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color w:val="000000"/>
                <w:kern w:val="58"/>
                <w:sz w:val="21"/>
                <w:szCs w:val="20"/>
              </w:rPr>
            </w:pPr>
            <w:r>
              <w:rPr>
                <w:rFonts w:hint="eastAsia" w:ascii="宋体" w:hAnsi="宋体"/>
                <w:color w:val="000000"/>
                <w:kern w:val="58"/>
                <w:sz w:val="21"/>
                <w:szCs w:val="20"/>
              </w:rPr>
              <w:t>规格参数</w:t>
            </w:r>
          </w:p>
        </w:tc>
        <w:tc>
          <w:tcPr>
            <w:tcW w:w="852" w:type="dxa"/>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color w:val="000000"/>
                <w:kern w:val="58"/>
                <w:sz w:val="21"/>
                <w:szCs w:val="20"/>
              </w:rPr>
            </w:pPr>
            <w:r>
              <w:rPr>
                <w:rFonts w:hint="eastAsia" w:ascii="宋体" w:hAnsi="宋体"/>
                <w:color w:val="000000"/>
                <w:kern w:val="58"/>
                <w:sz w:val="21"/>
                <w:szCs w:val="20"/>
              </w:rPr>
              <w:t>单位</w:t>
            </w:r>
          </w:p>
        </w:tc>
        <w:tc>
          <w:tcPr>
            <w:tcW w:w="1226" w:type="dxa"/>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color w:val="000000"/>
                <w:kern w:val="58"/>
                <w:sz w:val="21"/>
                <w:szCs w:val="20"/>
              </w:rPr>
            </w:pPr>
            <w:r>
              <w:rPr>
                <w:rFonts w:hint="eastAsia" w:ascii="宋体" w:hAnsi="宋体"/>
                <w:color w:val="000000"/>
                <w:kern w:val="58"/>
                <w:sz w:val="21"/>
                <w:szCs w:val="20"/>
              </w:rPr>
              <w:t>数量</w:t>
            </w:r>
          </w:p>
        </w:tc>
        <w:tc>
          <w:tcPr>
            <w:tcW w:w="1504" w:type="dxa"/>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color w:val="000000"/>
                <w:kern w:val="58"/>
                <w:sz w:val="21"/>
                <w:szCs w:val="20"/>
              </w:rPr>
            </w:pPr>
            <w:r>
              <w:rPr>
                <w:rFonts w:hint="eastAsia" w:ascii="宋体" w:hAnsi="宋体"/>
                <w:color w:val="000000"/>
                <w:kern w:val="58"/>
                <w:sz w:val="21"/>
                <w:szCs w:val="20"/>
              </w:rPr>
              <w:t>参考</w:t>
            </w:r>
            <w:r>
              <w:rPr>
                <w:rFonts w:hint="eastAsia" w:ascii="宋体" w:hAnsi="宋体"/>
                <w:color w:val="000000"/>
                <w:kern w:val="58"/>
                <w:sz w:val="21"/>
                <w:szCs w:val="20"/>
                <w:lang w:eastAsia="zh-CN"/>
              </w:rPr>
              <w:t>或相当于如下</w:t>
            </w:r>
            <w:r>
              <w:rPr>
                <w:rFonts w:hint="eastAsia" w:ascii="宋体" w:hAnsi="宋体"/>
                <w:color w:val="000000"/>
                <w:kern w:val="58"/>
                <w:sz w:val="21"/>
                <w:szCs w:val="20"/>
              </w:rPr>
              <w:t>品牌</w:t>
            </w:r>
          </w:p>
        </w:tc>
        <w:tc>
          <w:tcPr>
            <w:tcW w:w="1230" w:type="dxa"/>
            <w:gridSpan w:val="2"/>
            <w:tcBorders>
              <w:top w:val="nil"/>
              <w:left w:val="single" w:color="000000" w:sz="8" w:space="0"/>
              <w:bottom w:val="single" w:color="000000" w:sz="8" w:space="0"/>
              <w:right w:val="single" w:color="000000" w:sz="8" w:space="0"/>
            </w:tcBorders>
            <w:shd w:val="clear" w:color="auto" w:fill="auto"/>
            <w:vAlign w:val="center"/>
          </w:tcPr>
          <w:p>
            <w:pPr>
              <w:jc w:val="center"/>
              <w:rPr>
                <w:rFonts w:ascii="宋体" w:hAnsi="宋体"/>
                <w:color w:val="000000"/>
                <w:kern w:val="58"/>
                <w:sz w:val="21"/>
                <w:szCs w:val="20"/>
              </w:rPr>
            </w:pPr>
            <w:r>
              <w:rPr>
                <w:rFonts w:hint="eastAsia" w:ascii="宋体" w:hAnsi="宋体"/>
                <w:color w:val="000000"/>
                <w:kern w:val="58"/>
                <w:sz w:val="21"/>
                <w:szCs w:val="20"/>
              </w:rPr>
              <w:t>备注</w:t>
            </w:r>
          </w:p>
        </w:tc>
      </w:tr>
      <w:tr>
        <w:tblPrEx>
          <w:tblLayout w:type="fixed"/>
          <w:tblCellMar>
            <w:top w:w="0" w:type="dxa"/>
            <w:left w:w="108" w:type="dxa"/>
            <w:bottom w:w="0" w:type="dxa"/>
            <w:right w:w="108" w:type="dxa"/>
          </w:tblCellMar>
        </w:tblPrEx>
        <w:trPr>
          <w:trHeight w:val="300" w:hRule="atLeast"/>
        </w:trPr>
        <w:tc>
          <w:tcPr>
            <w:tcW w:w="652" w:type="dxa"/>
            <w:tcBorders>
              <w:top w:val="nil"/>
              <w:left w:val="single" w:color="000000" w:sz="8" w:space="0"/>
              <w:bottom w:val="single" w:color="000000" w:sz="8" w:space="0"/>
              <w:right w:val="single" w:color="000000" w:sz="8" w:space="0"/>
            </w:tcBorders>
            <w:shd w:val="clear" w:color="auto" w:fill="auto"/>
            <w:vAlign w:val="center"/>
          </w:tcPr>
          <w:p>
            <w:pPr>
              <w:rPr>
                <w:rFonts w:ascii="宋体" w:hAnsi="宋体"/>
                <w:color w:val="000000"/>
                <w:kern w:val="58"/>
                <w:sz w:val="21"/>
                <w:szCs w:val="20"/>
              </w:rPr>
            </w:pPr>
            <w:r>
              <w:rPr>
                <w:rFonts w:hint="eastAsia" w:ascii="宋体" w:hAnsi="宋体"/>
                <w:color w:val="000000"/>
                <w:kern w:val="58"/>
                <w:sz w:val="21"/>
                <w:szCs w:val="20"/>
              </w:rPr>
              <w:t>1</w:t>
            </w:r>
          </w:p>
        </w:tc>
        <w:tc>
          <w:tcPr>
            <w:tcW w:w="1266" w:type="dxa"/>
            <w:tcBorders>
              <w:top w:val="nil"/>
              <w:left w:val="nil"/>
              <w:bottom w:val="single" w:color="000000" w:sz="8" w:space="0"/>
              <w:right w:val="single" w:color="000000" w:sz="8" w:space="0"/>
            </w:tcBorders>
            <w:shd w:val="clear" w:color="auto" w:fill="auto"/>
            <w:vAlign w:val="center"/>
          </w:tcPr>
          <w:p>
            <w:pPr>
              <w:rPr>
                <w:rFonts w:ascii="宋体" w:hAnsi="宋体"/>
                <w:color w:val="000000"/>
                <w:kern w:val="58"/>
                <w:sz w:val="21"/>
                <w:szCs w:val="20"/>
              </w:rPr>
            </w:pPr>
            <w:r>
              <w:rPr>
                <w:rFonts w:hint="eastAsia" w:ascii="宋体" w:hAnsi="宋体"/>
                <w:color w:val="000000"/>
                <w:kern w:val="58"/>
                <w:sz w:val="21"/>
                <w:szCs w:val="20"/>
              </w:rPr>
              <w:t>空气净化装置</w:t>
            </w:r>
          </w:p>
        </w:tc>
        <w:tc>
          <w:tcPr>
            <w:tcW w:w="3335" w:type="dxa"/>
            <w:tcBorders>
              <w:top w:val="nil"/>
              <w:left w:val="nil"/>
              <w:bottom w:val="single" w:color="000000" w:sz="8" w:space="0"/>
              <w:right w:val="single" w:color="000000" w:sz="8" w:space="0"/>
            </w:tcBorders>
            <w:shd w:val="clear" w:color="auto" w:fill="auto"/>
            <w:vAlign w:val="center"/>
          </w:tcPr>
          <w:p>
            <w:pPr>
              <w:rPr>
                <w:rFonts w:ascii="宋体" w:hAnsi="宋体"/>
                <w:color w:val="000000"/>
                <w:kern w:val="58"/>
                <w:sz w:val="21"/>
                <w:szCs w:val="20"/>
              </w:rPr>
            </w:pPr>
            <w:r>
              <w:rPr>
                <w:rFonts w:hint="eastAsia" w:ascii="宋体" w:hAnsi="宋体"/>
                <w:color w:val="000000"/>
                <w:kern w:val="58"/>
                <w:sz w:val="21"/>
                <w:szCs w:val="20"/>
              </w:rPr>
              <w:t>1、电源频率为（50±1)Hz；电压为（187∽242）V</w:t>
            </w:r>
          </w:p>
          <w:p>
            <w:pPr>
              <w:rPr>
                <w:rFonts w:ascii="宋体" w:hAnsi="宋体"/>
                <w:color w:val="000000"/>
                <w:kern w:val="58"/>
                <w:sz w:val="21"/>
                <w:szCs w:val="20"/>
              </w:rPr>
            </w:pPr>
            <w:r>
              <w:rPr>
                <w:rFonts w:hint="eastAsia" w:ascii="宋体" w:hAnsi="宋体"/>
                <w:color w:val="000000"/>
                <w:kern w:val="58"/>
                <w:sz w:val="21"/>
                <w:szCs w:val="20"/>
              </w:rPr>
              <w:t>2、适用范围：不低于30㎡</w:t>
            </w:r>
          </w:p>
          <w:p>
            <w:pPr>
              <w:rPr>
                <w:rFonts w:ascii="宋体" w:hAnsi="宋体"/>
                <w:color w:val="000000"/>
                <w:kern w:val="58"/>
                <w:sz w:val="21"/>
                <w:szCs w:val="20"/>
              </w:rPr>
            </w:pPr>
            <w:r>
              <w:rPr>
                <w:rFonts w:hint="eastAsia" w:ascii="宋体" w:hAnsi="宋体"/>
                <w:color w:val="000000"/>
                <w:kern w:val="58"/>
                <w:sz w:val="21"/>
                <w:szCs w:val="20"/>
              </w:rPr>
              <w:t>3、额定功率：不超过20W</w:t>
            </w:r>
          </w:p>
          <w:p>
            <w:pPr>
              <w:rPr>
                <w:rFonts w:ascii="宋体" w:hAnsi="宋体"/>
                <w:color w:val="000000"/>
                <w:kern w:val="58"/>
                <w:sz w:val="21"/>
                <w:szCs w:val="20"/>
              </w:rPr>
            </w:pPr>
            <w:r>
              <w:rPr>
                <w:rFonts w:hint="eastAsia" w:ascii="宋体" w:hAnsi="宋体"/>
                <w:color w:val="000000"/>
                <w:kern w:val="58"/>
                <w:sz w:val="21"/>
                <w:szCs w:val="20"/>
              </w:rPr>
              <w:t>4、外形尺寸（长*宽*高）：不超过330*290*100mm</w:t>
            </w:r>
          </w:p>
          <w:p>
            <w:pPr>
              <w:rPr>
                <w:rFonts w:ascii="宋体" w:hAnsi="宋体"/>
                <w:color w:val="000000"/>
                <w:kern w:val="58"/>
                <w:sz w:val="21"/>
                <w:szCs w:val="20"/>
              </w:rPr>
            </w:pPr>
            <w:r>
              <w:rPr>
                <w:rFonts w:hint="eastAsia" w:ascii="宋体" w:hAnsi="宋体"/>
                <w:color w:val="000000"/>
                <w:kern w:val="58"/>
                <w:sz w:val="21"/>
                <w:szCs w:val="20"/>
              </w:rPr>
              <w:t>5、噪声：≤55dB</w:t>
            </w:r>
          </w:p>
        </w:tc>
        <w:tc>
          <w:tcPr>
            <w:tcW w:w="852" w:type="dxa"/>
            <w:tcBorders>
              <w:top w:val="nil"/>
              <w:left w:val="nil"/>
              <w:bottom w:val="single" w:color="000000" w:sz="8" w:space="0"/>
              <w:right w:val="single" w:color="000000" w:sz="8" w:space="0"/>
            </w:tcBorders>
            <w:shd w:val="clear" w:color="auto" w:fill="auto"/>
            <w:vAlign w:val="center"/>
          </w:tcPr>
          <w:p>
            <w:pPr>
              <w:ind w:firstLine="210" w:firstLineChars="100"/>
              <w:rPr>
                <w:rFonts w:ascii="宋体" w:hAnsi="宋体"/>
                <w:color w:val="000000"/>
                <w:kern w:val="58"/>
                <w:sz w:val="21"/>
                <w:szCs w:val="20"/>
              </w:rPr>
            </w:pPr>
            <w:r>
              <w:rPr>
                <w:rFonts w:hint="eastAsia" w:ascii="宋体" w:hAnsi="宋体"/>
                <w:color w:val="000000"/>
                <w:kern w:val="58"/>
                <w:sz w:val="21"/>
                <w:szCs w:val="20"/>
              </w:rPr>
              <w:t>台</w:t>
            </w:r>
          </w:p>
        </w:tc>
        <w:tc>
          <w:tcPr>
            <w:tcW w:w="1226" w:type="dxa"/>
            <w:tcBorders>
              <w:top w:val="nil"/>
              <w:left w:val="nil"/>
              <w:bottom w:val="single" w:color="000000" w:sz="8" w:space="0"/>
              <w:right w:val="single" w:color="000000" w:sz="8" w:space="0"/>
            </w:tcBorders>
            <w:shd w:val="clear" w:color="auto" w:fill="auto"/>
            <w:vAlign w:val="center"/>
          </w:tcPr>
          <w:p>
            <w:pPr>
              <w:jc w:val="center"/>
              <w:rPr>
                <w:rFonts w:ascii="宋体" w:hAnsi="宋体"/>
                <w:color w:val="000000"/>
                <w:kern w:val="58"/>
                <w:sz w:val="21"/>
                <w:szCs w:val="20"/>
                <w:highlight w:val="none"/>
              </w:rPr>
            </w:pPr>
            <w:r>
              <w:rPr>
                <w:rFonts w:hint="eastAsia" w:ascii="宋体" w:hAnsi="宋体"/>
                <w:color w:val="000000"/>
                <w:kern w:val="58"/>
                <w:sz w:val="21"/>
                <w:szCs w:val="20"/>
                <w:highlight w:val="none"/>
              </w:rPr>
              <w:t>24</w:t>
            </w:r>
          </w:p>
        </w:tc>
        <w:tc>
          <w:tcPr>
            <w:tcW w:w="1504" w:type="dxa"/>
            <w:tcBorders>
              <w:top w:val="nil"/>
              <w:left w:val="nil"/>
              <w:bottom w:val="single" w:color="000000" w:sz="8" w:space="0"/>
              <w:right w:val="single" w:color="000000" w:sz="8" w:space="0"/>
            </w:tcBorders>
            <w:shd w:val="clear" w:color="auto" w:fill="auto"/>
            <w:vAlign w:val="center"/>
          </w:tcPr>
          <w:p>
            <w:pPr>
              <w:rPr>
                <w:rFonts w:ascii="宋体" w:hAnsi="宋体"/>
                <w:color w:val="000000"/>
                <w:kern w:val="58"/>
                <w:sz w:val="21"/>
                <w:szCs w:val="20"/>
                <w:highlight w:val="none"/>
              </w:rPr>
            </w:pPr>
            <w:r>
              <w:rPr>
                <w:rFonts w:hint="eastAsia" w:ascii="宋体" w:hAnsi="宋体"/>
                <w:color w:val="000000"/>
                <w:kern w:val="58"/>
                <w:sz w:val="21"/>
                <w:szCs w:val="20"/>
                <w:highlight w:val="none"/>
              </w:rPr>
              <w:t>银帆、传奇舟、ECOLO</w:t>
            </w:r>
          </w:p>
        </w:tc>
        <w:tc>
          <w:tcPr>
            <w:tcW w:w="1230" w:type="dxa"/>
            <w:gridSpan w:val="2"/>
            <w:tcBorders>
              <w:top w:val="nil"/>
              <w:left w:val="nil"/>
              <w:bottom w:val="single" w:color="000000" w:sz="8" w:space="0"/>
              <w:right w:val="single" w:color="000000" w:sz="8" w:space="0"/>
            </w:tcBorders>
            <w:shd w:val="clear" w:color="auto" w:fill="auto"/>
            <w:vAlign w:val="center"/>
          </w:tcPr>
          <w:p>
            <w:pPr>
              <w:rPr>
                <w:rFonts w:ascii="宋体" w:hAnsi="宋体"/>
                <w:color w:val="000000"/>
                <w:kern w:val="58"/>
                <w:sz w:val="21"/>
                <w:szCs w:val="20"/>
              </w:rPr>
            </w:pPr>
          </w:p>
        </w:tc>
      </w:tr>
      <w:tr>
        <w:tblPrEx>
          <w:tblLayout w:type="fixed"/>
          <w:tblCellMar>
            <w:top w:w="0" w:type="dxa"/>
            <w:left w:w="108" w:type="dxa"/>
            <w:bottom w:w="0" w:type="dxa"/>
            <w:right w:w="108" w:type="dxa"/>
          </w:tblCellMar>
        </w:tblPrEx>
        <w:trPr>
          <w:trHeight w:val="300" w:hRule="atLeast"/>
        </w:trPr>
        <w:tc>
          <w:tcPr>
            <w:tcW w:w="652" w:type="dxa"/>
            <w:tcBorders>
              <w:top w:val="nil"/>
              <w:left w:val="single" w:color="000000" w:sz="8" w:space="0"/>
              <w:bottom w:val="single" w:color="000000" w:sz="8" w:space="0"/>
              <w:right w:val="single" w:color="000000" w:sz="8" w:space="0"/>
            </w:tcBorders>
            <w:shd w:val="clear" w:color="auto" w:fill="auto"/>
            <w:vAlign w:val="center"/>
          </w:tcPr>
          <w:p>
            <w:pPr>
              <w:rPr>
                <w:rFonts w:ascii="宋体" w:hAnsi="宋体"/>
                <w:color w:val="000000"/>
                <w:kern w:val="58"/>
                <w:sz w:val="21"/>
                <w:szCs w:val="20"/>
              </w:rPr>
            </w:pPr>
            <w:r>
              <w:rPr>
                <w:rFonts w:hint="eastAsia" w:ascii="宋体" w:hAnsi="宋体"/>
                <w:color w:val="000000"/>
                <w:kern w:val="58"/>
                <w:sz w:val="21"/>
                <w:szCs w:val="20"/>
              </w:rPr>
              <w:t>2</w:t>
            </w:r>
          </w:p>
        </w:tc>
        <w:tc>
          <w:tcPr>
            <w:tcW w:w="1266" w:type="dxa"/>
            <w:tcBorders>
              <w:top w:val="nil"/>
              <w:left w:val="nil"/>
              <w:bottom w:val="single" w:color="auto" w:sz="8" w:space="0"/>
              <w:right w:val="single" w:color="auto" w:sz="8" w:space="0"/>
            </w:tcBorders>
            <w:shd w:val="clear" w:color="auto" w:fill="auto"/>
            <w:vAlign w:val="center"/>
          </w:tcPr>
          <w:p>
            <w:pPr>
              <w:rPr>
                <w:rFonts w:ascii="宋体" w:hAnsi="宋体"/>
                <w:color w:val="000000"/>
                <w:kern w:val="58"/>
                <w:sz w:val="21"/>
                <w:szCs w:val="20"/>
              </w:rPr>
            </w:pPr>
            <w:r>
              <w:rPr>
                <w:rFonts w:hint="eastAsia" w:ascii="宋体" w:hAnsi="宋体"/>
                <w:color w:val="000000"/>
                <w:kern w:val="58"/>
                <w:sz w:val="21"/>
                <w:szCs w:val="20"/>
              </w:rPr>
              <w:t>空气净化装置配套药剂</w:t>
            </w:r>
          </w:p>
        </w:tc>
        <w:tc>
          <w:tcPr>
            <w:tcW w:w="3335" w:type="dxa"/>
            <w:tcBorders>
              <w:top w:val="nil"/>
              <w:left w:val="nil"/>
              <w:bottom w:val="single" w:color="auto" w:sz="8" w:space="0"/>
              <w:right w:val="single" w:color="auto" w:sz="8" w:space="0"/>
            </w:tcBorders>
            <w:shd w:val="clear" w:color="auto" w:fill="auto"/>
            <w:vAlign w:val="center"/>
          </w:tcPr>
          <w:p>
            <w:pPr>
              <w:rPr>
                <w:rFonts w:ascii="宋体" w:hAnsi="宋体"/>
                <w:color w:val="000000"/>
                <w:kern w:val="58"/>
                <w:sz w:val="21"/>
                <w:szCs w:val="20"/>
              </w:rPr>
            </w:pPr>
            <w:r>
              <w:rPr>
                <w:rFonts w:hint="eastAsia" w:ascii="宋体" w:hAnsi="宋体"/>
                <w:color w:val="000000"/>
                <w:kern w:val="58"/>
                <w:sz w:val="21"/>
                <w:szCs w:val="20"/>
              </w:rPr>
              <w:t>1、天然植物原料制成</w:t>
            </w:r>
          </w:p>
          <w:p>
            <w:pPr>
              <w:rPr>
                <w:rFonts w:ascii="宋体" w:hAnsi="宋体"/>
                <w:color w:val="000000"/>
                <w:kern w:val="58"/>
                <w:sz w:val="21"/>
                <w:szCs w:val="20"/>
              </w:rPr>
            </w:pPr>
            <w:r>
              <w:rPr>
                <w:rFonts w:hint="eastAsia" w:ascii="宋体" w:hAnsi="宋体"/>
                <w:color w:val="000000"/>
                <w:kern w:val="58"/>
                <w:sz w:val="21"/>
                <w:szCs w:val="20"/>
              </w:rPr>
              <w:t>2、零度不会冻结，不分解</w:t>
            </w:r>
          </w:p>
          <w:p>
            <w:pPr>
              <w:rPr>
                <w:rFonts w:ascii="宋体" w:hAnsi="宋体"/>
                <w:color w:val="000000"/>
                <w:kern w:val="58"/>
                <w:sz w:val="21"/>
                <w:szCs w:val="20"/>
              </w:rPr>
            </w:pPr>
            <w:r>
              <w:rPr>
                <w:rFonts w:hint="eastAsia" w:ascii="宋体" w:hAnsi="宋体"/>
                <w:color w:val="000000"/>
                <w:kern w:val="58"/>
                <w:sz w:val="21"/>
                <w:szCs w:val="20"/>
              </w:rPr>
              <w:t>3、适用于常温，理想温度为25℃，高温限度为55℃</w:t>
            </w:r>
          </w:p>
          <w:p>
            <w:pPr>
              <w:rPr>
                <w:rFonts w:ascii="宋体" w:hAnsi="宋体"/>
                <w:color w:val="000000"/>
                <w:kern w:val="58"/>
                <w:sz w:val="21"/>
                <w:szCs w:val="20"/>
              </w:rPr>
            </w:pPr>
            <w:r>
              <w:rPr>
                <w:rFonts w:hint="eastAsia" w:ascii="宋体" w:hAnsi="宋体"/>
                <w:color w:val="000000"/>
                <w:kern w:val="58"/>
                <w:sz w:val="21"/>
                <w:szCs w:val="20"/>
              </w:rPr>
              <w:t>4、安全无毒无害，无过敏性，无皮肤刺激性</w:t>
            </w:r>
          </w:p>
          <w:p>
            <w:pPr>
              <w:rPr>
                <w:rFonts w:ascii="宋体" w:hAnsi="宋体"/>
                <w:color w:val="000000"/>
                <w:kern w:val="58"/>
                <w:sz w:val="21"/>
                <w:szCs w:val="20"/>
              </w:rPr>
            </w:pPr>
            <w:r>
              <w:rPr>
                <w:rFonts w:hint="eastAsia" w:ascii="宋体" w:hAnsi="宋体"/>
                <w:color w:val="000000"/>
                <w:kern w:val="58"/>
                <w:sz w:val="21"/>
                <w:szCs w:val="20"/>
              </w:rPr>
              <w:t>5、药剂添加周期为一个月一次</w:t>
            </w:r>
          </w:p>
          <w:p>
            <w:pPr>
              <w:rPr>
                <w:rFonts w:ascii="宋体" w:hAnsi="宋体"/>
                <w:color w:val="000000"/>
                <w:kern w:val="58"/>
                <w:sz w:val="21"/>
                <w:szCs w:val="20"/>
              </w:rPr>
            </w:pPr>
            <w:r>
              <w:rPr>
                <w:rFonts w:hint="eastAsia" w:ascii="宋体" w:hAnsi="宋体"/>
                <w:color w:val="000000"/>
                <w:kern w:val="58"/>
                <w:sz w:val="21"/>
                <w:szCs w:val="20"/>
              </w:rPr>
              <w:t>6、能有效分解氨、硫化氢、苯、二甲苯、甲醛、TVOC等有害物质，且具备杀灭有害菌（包含但不限于金黄色葡萄球菌、大肠杆菌、绿脓杆菌、沙门氏菌、李斯特菌、白色念珠菌）、驱蚊蝇等作用，具有不早于2015年经质量技术监督部门认可的且在有效期内的第三方检测机构出具的检验报告（包括产品天然度成分报告、有机认证、投入性无毒无害报告、杀菌抑菌报告等）。</w:t>
            </w:r>
          </w:p>
        </w:tc>
        <w:tc>
          <w:tcPr>
            <w:tcW w:w="852" w:type="dxa"/>
            <w:tcBorders>
              <w:top w:val="nil"/>
              <w:left w:val="nil"/>
              <w:bottom w:val="single" w:color="auto" w:sz="8" w:space="0"/>
              <w:right w:val="single" w:color="auto" w:sz="8" w:space="0"/>
            </w:tcBorders>
            <w:shd w:val="clear" w:color="auto" w:fill="auto"/>
            <w:vAlign w:val="center"/>
          </w:tcPr>
          <w:p>
            <w:pPr>
              <w:rPr>
                <w:rFonts w:ascii="宋体" w:hAnsi="宋体"/>
                <w:color w:val="000000"/>
                <w:kern w:val="58"/>
                <w:sz w:val="21"/>
                <w:szCs w:val="20"/>
              </w:rPr>
            </w:pPr>
          </w:p>
        </w:tc>
        <w:tc>
          <w:tcPr>
            <w:tcW w:w="1226" w:type="dxa"/>
            <w:tcBorders>
              <w:top w:val="nil"/>
              <w:left w:val="nil"/>
              <w:bottom w:val="single" w:color="auto" w:sz="8" w:space="0"/>
              <w:right w:val="single" w:color="auto" w:sz="8" w:space="0"/>
            </w:tcBorders>
            <w:shd w:val="clear" w:color="auto" w:fill="auto"/>
            <w:vAlign w:val="center"/>
          </w:tcPr>
          <w:p>
            <w:pPr>
              <w:rPr>
                <w:rFonts w:ascii="宋体" w:hAnsi="宋体"/>
                <w:color w:val="000000"/>
                <w:kern w:val="58"/>
                <w:sz w:val="21"/>
                <w:szCs w:val="20"/>
                <w:highlight w:val="none"/>
              </w:rPr>
            </w:pPr>
            <w:r>
              <w:rPr>
                <w:rFonts w:hint="eastAsia" w:ascii="宋体" w:hAnsi="宋体"/>
                <w:color w:val="000000"/>
                <w:kern w:val="58"/>
                <w:sz w:val="21"/>
                <w:szCs w:val="20"/>
                <w:highlight w:val="none"/>
              </w:rPr>
              <w:t>配套24台空气净化装置3年使用量</w:t>
            </w:r>
          </w:p>
        </w:tc>
        <w:tc>
          <w:tcPr>
            <w:tcW w:w="1504" w:type="dxa"/>
            <w:tcBorders>
              <w:top w:val="nil"/>
              <w:left w:val="nil"/>
              <w:bottom w:val="single" w:color="auto" w:sz="8" w:space="0"/>
              <w:right w:val="single" w:color="auto" w:sz="8" w:space="0"/>
            </w:tcBorders>
            <w:shd w:val="clear" w:color="auto" w:fill="auto"/>
            <w:vAlign w:val="center"/>
          </w:tcPr>
          <w:p>
            <w:pPr>
              <w:rPr>
                <w:rFonts w:ascii="宋体" w:hAnsi="宋体"/>
                <w:color w:val="000000"/>
                <w:kern w:val="58"/>
                <w:sz w:val="21"/>
                <w:szCs w:val="20"/>
                <w:highlight w:val="none"/>
              </w:rPr>
            </w:pPr>
            <w:r>
              <w:rPr>
                <w:rFonts w:hint="eastAsia" w:ascii="宋体" w:hAnsi="宋体"/>
                <w:color w:val="000000"/>
                <w:kern w:val="58"/>
                <w:sz w:val="21"/>
                <w:szCs w:val="20"/>
                <w:highlight w:val="none"/>
              </w:rPr>
              <w:t>银帆、传奇舟、ECOLO</w:t>
            </w:r>
          </w:p>
        </w:tc>
        <w:tc>
          <w:tcPr>
            <w:tcW w:w="1230" w:type="dxa"/>
            <w:gridSpan w:val="2"/>
            <w:tcBorders>
              <w:top w:val="nil"/>
              <w:left w:val="nil"/>
              <w:bottom w:val="single" w:color="auto" w:sz="8" w:space="0"/>
              <w:right w:val="single" w:color="auto" w:sz="8" w:space="0"/>
            </w:tcBorders>
            <w:shd w:val="clear" w:color="auto" w:fill="auto"/>
            <w:vAlign w:val="center"/>
          </w:tcPr>
          <w:p>
            <w:pPr>
              <w:rPr>
                <w:rFonts w:ascii="宋体" w:hAnsi="宋体"/>
                <w:color w:val="000000"/>
                <w:kern w:val="58"/>
                <w:sz w:val="21"/>
                <w:szCs w:val="20"/>
              </w:rPr>
            </w:pPr>
          </w:p>
        </w:tc>
      </w:tr>
    </w:tbl>
    <w:p>
      <w:pPr>
        <w:rPr>
          <w:b/>
        </w:rPr>
      </w:pPr>
      <w:bookmarkStart w:id="1" w:name="_Toc18323"/>
      <w:r>
        <w:rPr>
          <w:rFonts w:hint="eastAsia"/>
          <w:b/>
        </w:rPr>
        <w:t>3、设备功能</w:t>
      </w:r>
    </w:p>
    <w:p>
      <w:pPr>
        <w:rPr>
          <w:rFonts w:ascii="宋体" w:hAnsi="宋体"/>
          <w:color w:val="000000"/>
          <w:kern w:val="58"/>
          <w:sz w:val="21"/>
          <w:szCs w:val="20"/>
        </w:rPr>
      </w:pPr>
      <w:r>
        <w:rPr>
          <w:rFonts w:hint="eastAsia" w:ascii="宋体" w:hAnsi="宋体"/>
          <w:color w:val="000000"/>
          <w:kern w:val="58"/>
          <w:sz w:val="21"/>
          <w:szCs w:val="20"/>
        </w:rPr>
        <w:t>1、一键启动自动运行。</w:t>
      </w:r>
    </w:p>
    <w:p>
      <w:pPr>
        <w:rPr>
          <w:rFonts w:ascii="宋体" w:hAnsi="宋体"/>
          <w:color w:val="000000"/>
          <w:kern w:val="58"/>
          <w:sz w:val="21"/>
          <w:szCs w:val="20"/>
        </w:rPr>
      </w:pPr>
      <w:r>
        <w:rPr>
          <w:rFonts w:hint="eastAsia" w:ascii="宋体" w:hAnsi="宋体"/>
          <w:color w:val="000000"/>
          <w:kern w:val="58"/>
          <w:sz w:val="21"/>
          <w:szCs w:val="20"/>
        </w:rPr>
        <w:t>2、空气质量自动检测。</w:t>
      </w:r>
    </w:p>
    <w:p>
      <w:pPr>
        <w:rPr>
          <w:rFonts w:ascii="宋体" w:hAnsi="宋体"/>
          <w:color w:val="000000"/>
          <w:kern w:val="58"/>
          <w:sz w:val="21"/>
          <w:szCs w:val="20"/>
        </w:rPr>
      </w:pPr>
      <w:r>
        <w:rPr>
          <w:rFonts w:hint="eastAsia" w:ascii="宋体" w:hAnsi="宋体"/>
          <w:color w:val="000000"/>
          <w:kern w:val="58"/>
          <w:sz w:val="21"/>
          <w:szCs w:val="20"/>
        </w:rPr>
        <w:t>3、手动模式、自动模式自动切换。</w:t>
      </w:r>
    </w:p>
    <w:p>
      <w:pPr>
        <w:rPr>
          <w:rFonts w:ascii="宋体" w:hAnsi="宋体"/>
          <w:color w:val="000000"/>
          <w:kern w:val="58"/>
          <w:sz w:val="21"/>
          <w:szCs w:val="20"/>
        </w:rPr>
      </w:pPr>
      <w:r>
        <w:rPr>
          <w:rFonts w:hint="eastAsia" w:ascii="宋体" w:hAnsi="宋体"/>
          <w:color w:val="000000"/>
          <w:kern w:val="58"/>
          <w:sz w:val="21"/>
          <w:szCs w:val="20"/>
        </w:rPr>
        <w:t>4、设备工作时间设置。</w:t>
      </w:r>
    </w:p>
    <w:p>
      <w:pPr>
        <w:rPr>
          <w:rFonts w:hint="eastAsia" w:ascii="宋体" w:hAnsi="宋体"/>
          <w:color w:val="000000"/>
          <w:kern w:val="58"/>
          <w:sz w:val="21"/>
          <w:szCs w:val="20"/>
        </w:rPr>
      </w:pPr>
      <w:r>
        <w:rPr>
          <w:rFonts w:hint="eastAsia" w:ascii="宋体" w:hAnsi="宋体"/>
          <w:color w:val="000000"/>
          <w:kern w:val="58"/>
          <w:sz w:val="21"/>
          <w:szCs w:val="20"/>
        </w:rPr>
        <w:t>5、设备内材料使用剩余量及使用天数查看。</w:t>
      </w:r>
    </w:p>
    <w:p>
      <w:pPr>
        <w:pStyle w:val="2"/>
        <w:rPr>
          <w:rFonts w:hAnsi="宋体"/>
          <w:color w:val="000000"/>
          <w:kern w:val="58"/>
          <w:sz w:val="21"/>
          <w:highlight w:val="none"/>
        </w:rPr>
      </w:pPr>
      <w:r>
        <w:rPr>
          <w:rFonts w:hint="eastAsia" w:hAnsi="宋体"/>
          <w:color w:val="000000"/>
          <w:kern w:val="58"/>
          <w:sz w:val="21"/>
          <w:highlight w:val="none"/>
        </w:rPr>
        <w:t>6、设备及配套耗材使用过程中，无需额外加水或接水管，使用更安全、更便捷。</w:t>
      </w:r>
    </w:p>
    <w:p>
      <w:pPr>
        <w:rPr>
          <w:b/>
          <w:highlight w:val="none"/>
        </w:rPr>
      </w:pPr>
      <w:r>
        <w:rPr>
          <w:rFonts w:hint="eastAsia"/>
          <w:b/>
          <w:highlight w:val="none"/>
        </w:rPr>
        <w:t>4、投标要求</w:t>
      </w:r>
    </w:p>
    <w:p>
      <w:pPr>
        <w:pStyle w:val="4"/>
        <w:spacing w:beforeAutospacing="0" w:afterAutospacing="0" w:line="360" w:lineRule="auto"/>
        <w:ind w:firstLine="420" w:firstLineChars="200"/>
        <w:jc w:val="both"/>
        <w:rPr>
          <w:rFonts w:asciiTheme="majorHAnsi" w:hAnsiTheme="majorHAnsi" w:cstheme="majorBidi"/>
          <w:b/>
          <w:bCs/>
          <w:kern w:val="2"/>
          <w:sz w:val="32"/>
          <w:szCs w:val="32"/>
        </w:rPr>
      </w:pPr>
      <w:r>
        <w:rPr>
          <w:rFonts w:hint="eastAsia"/>
          <w:kern w:val="58"/>
          <w:sz w:val="21"/>
          <w:szCs w:val="20"/>
        </w:rPr>
        <w:t>比选申请人必须有所投产品厂家的项目授权资格，必须真实有效。</w:t>
      </w:r>
      <w:r>
        <w:rPr>
          <w:rFonts w:hint="eastAsia" w:asciiTheme="minorEastAsia" w:hAnsiTheme="minorEastAsia" w:cstheme="minorEastAsia"/>
          <w:color w:val="0D0D0D"/>
          <w:kern w:val="2"/>
          <w:sz w:val="21"/>
          <w:szCs w:val="21"/>
        </w:rPr>
        <w:br w:type="textWrapping"/>
      </w:r>
      <w:r>
        <w:rPr>
          <w:rFonts w:hint="eastAsia" w:ascii="Times New Roman" w:hAnsi="Times New Roman"/>
          <w:b/>
          <w:kern w:val="2"/>
        </w:rPr>
        <w:t>三、项目时间</w:t>
      </w:r>
      <w:bookmarkEnd w:id="1"/>
    </w:p>
    <w:p>
      <w:pPr>
        <w:rPr>
          <w:rFonts w:ascii="宋体" w:hAnsi="宋体"/>
          <w:color w:val="000000"/>
          <w:kern w:val="58"/>
          <w:sz w:val="21"/>
          <w:szCs w:val="20"/>
        </w:rPr>
      </w:pPr>
      <w:r>
        <w:rPr>
          <w:rFonts w:hint="eastAsia" w:ascii="宋体" w:hAnsi="宋体"/>
          <w:color w:val="000000"/>
          <w:kern w:val="58"/>
          <w:sz w:val="21"/>
          <w:szCs w:val="20"/>
        </w:rPr>
        <w:t>1、总工期要求：</w:t>
      </w:r>
      <w:r>
        <w:rPr>
          <w:rFonts w:hint="eastAsia" w:hAnsi="宋体"/>
          <w:color w:val="000000"/>
          <w:kern w:val="58"/>
          <w:sz w:val="21"/>
        </w:rPr>
        <w:t>合同签订接到甲方通知后15天内</w:t>
      </w:r>
      <w:r>
        <w:rPr>
          <w:rFonts w:hint="eastAsia" w:hAnsi="宋体"/>
          <w:sz w:val="21"/>
          <w:szCs w:val="21"/>
        </w:rPr>
        <w:t>完成供货并安装完毕（具体供货时间及</w:t>
      </w:r>
      <w:r>
        <w:rPr>
          <w:rFonts w:hAnsi="宋体"/>
          <w:sz w:val="21"/>
          <w:szCs w:val="21"/>
        </w:rPr>
        <w:t>供货地点</w:t>
      </w:r>
      <w:r>
        <w:rPr>
          <w:rFonts w:hint="eastAsia" w:hAnsi="宋体"/>
          <w:sz w:val="21"/>
          <w:szCs w:val="21"/>
        </w:rPr>
        <w:t>以比选发起人计划要求为准）</w:t>
      </w:r>
      <w:r>
        <w:rPr>
          <w:rFonts w:hint="eastAsia" w:ascii="宋体" w:hAnsi="宋体"/>
          <w:color w:val="000000"/>
          <w:kern w:val="58"/>
          <w:sz w:val="21"/>
          <w:szCs w:val="20"/>
        </w:rPr>
        <w:t>；</w:t>
      </w:r>
    </w:p>
    <w:p>
      <w:pPr>
        <w:rPr>
          <w:rFonts w:ascii="宋体" w:hAnsi="宋体"/>
          <w:color w:val="000000"/>
          <w:kern w:val="58"/>
          <w:sz w:val="21"/>
          <w:szCs w:val="20"/>
        </w:rPr>
      </w:pPr>
      <w:r>
        <w:rPr>
          <w:rFonts w:hint="eastAsia" w:ascii="宋体" w:hAnsi="宋体"/>
          <w:color w:val="000000"/>
          <w:kern w:val="58"/>
          <w:sz w:val="21"/>
          <w:szCs w:val="20"/>
        </w:rPr>
        <w:t>2、进场时间要求：签订合同后7天内完成开工前各项准备工作。</w:t>
      </w:r>
    </w:p>
    <w:p>
      <w:pPr>
        <w:rPr>
          <w:b/>
        </w:rPr>
      </w:pPr>
      <w:bookmarkStart w:id="2" w:name="_Toc3467"/>
      <w:r>
        <w:rPr>
          <w:rFonts w:hint="eastAsia"/>
          <w:b/>
        </w:rPr>
        <w:t>四、安全要求</w:t>
      </w:r>
      <w:bookmarkEnd w:id="2"/>
    </w:p>
    <w:p>
      <w:pPr>
        <w:rPr>
          <w:rFonts w:ascii="宋体" w:hAnsi="宋体"/>
          <w:color w:val="000000"/>
          <w:kern w:val="58"/>
          <w:sz w:val="21"/>
          <w:szCs w:val="20"/>
        </w:rPr>
      </w:pPr>
      <w:r>
        <w:rPr>
          <w:rFonts w:hint="eastAsia" w:ascii="宋体" w:hAnsi="宋体"/>
          <w:color w:val="000000"/>
          <w:kern w:val="58"/>
          <w:sz w:val="21"/>
          <w:szCs w:val="20"/>
        </w:rPr>
        <w:t>1、所有进行本项目的施工人员要遵守宁波轨道交通集团有限公司运营分公司（以下简称运营分公司）的施工管理规定，必须按照施工规范、方案和各项安全操作规程进行作业。全体人员必须持证上岗，施工负责人要接受运营分公司的施工负责人培训。</w:t>
      </w:r>
    </w:p>
    <w:p>
      <w:pPr>
        <w:rPr>
          <w:rFonts w:ascii="宋体" w:hAnsi="宋体"/>
          <w:color w:val="000000"/>
          <w:kern w:val="58"/>
          <w:sz w:val="21"/>
          <w:szCs w:val="20"/>
        </w:rPr>
      </w:pPr>
      <w:r>
        <w:rPr>
          <w:rFonts w:hint="eastAsia" w:ascii="宋体" w:hAnsi="宋体"/>
          <w:color w:val="000000"/>
          <w:kern w:val="58"/>
          <w:sz w:val="21"/>
          <w:szCs w:val="20"/>
        </w:rPr>
        <w:t>2、所有施工人员必须无条件的听从运营分公司配合人员的安全管理、无条件的遵守运营分公司相关安全规章制度。</w:t>
      </w:r>
    </w:p>
    <w:p>
      <w:pPr>
        <w:rPr>
          <w:rFonts w:ascii="宋体" w:hAnsi="宋体"/>
          <w:color w:val="000000"/>
          <w:kern w:val="58"/>
          <w:sz w:val="21"/>
          <w:szCs w:val="20"/>
        </w:rPr>
      </w:pPr>
      <w:r>
        <w:rPr>
          <w:rFonts w:hint="eastAsia" w:ascii="宋体" w:hAnsi="宋体"/>
          <w:color w:val="000000"/>
          <w:kern w:val="58"/>
          <w:sz w:val="21"/>
          <w:szCs w:val="20"/>
        </w:rPr>
        <w:t>3、比选申请人在进行施工作业时必须穿戴劳保防护用品。</w:t>
      </w:r>
    </w:p>
    <w:p>
      <w:pPr>
        <w:rPr>
          <w:rFonts w:ascii="宋体" w:hAnsi="宋体"/>
          <w:color w:val="000000"/>
          <w:kern w:val="58"/>
          <w:sz w:val="21"/>
          <w:szCs w:val="20"/>
        </w:rPr>
      </w:pPr>
      <w:r>
        <w:rPr>
          <w:rFonts w:hint="eastAsia" w:ascii="宋体" w:hAnsi="宋体"/>
          <w:color w:val="000000"/>
          <w:kern w:val="58"/>
          <w:sz w:val="21"/>
          <w:szCs w:val="20"/>
        </w:rPr>
        <w:t>4、每天施工完成后，现场设备设施恢复工作由比选申请人负责。若施工未能于当天完成，人员清场时，比选申请人要做好现场设备设施恢复工作。</w:t>
      </w:r>
    </w:p>
    <w:p>
      <w:pPr>
        <w:rPr>
          <w:rFonts w:ascii="宋体" w:hAnsi="宋体"/>
          <w:color w:val="000000"/>
          <w:kern w:val="58"/>
          <w:sz w:val="21"/>
          <w:szCs w:val="20"/>
        </w:rPr>
      </w:pPr>
      <w:r>
        <w:rPr>
          <w:rFonts w:hint="eastAsia" w:ascii="宋体" w:hAnsi="宋体"/>
          <w:color w:val="000000"/>
          <w:kern w:val="58"/>
          <w:sz w:val="21"/>
          <w:szCs w:val="20"/>
        </w:rPr>
        <w:t>5、施工地点要按规定设置安全防护及安全标志。</w:t>
      </w:r>
    </w:p>
    <w:p>
      <w:pPr>
        <w:rPr>
          <w:b/>
        </w:rPr>
      </w:pPr>
      <w:bookmarkStart w:id="3" w:name="_Toc28871"/>
      <w:r>
        <w:rPr>
          <w:rFonts w:hint="eastAsia"/>
          <w:b/>
        </w:rPr>
        <w:t>五、质量保障</w:t>
      </w:r>
      <w:bookmarkEnd w:id="3"/>
    </w:p>
    <w:p>
      <w:pPr>
        <w:rPr>
          <w:rFonts w:ascii="宋体" w:hAnsi="宋体"/>
          <w:color w:val="000000"/>
          <w:kern w:val="58"/>
          <w:sz w:val="21"/>
          <w:szCs w:val="20"/>
        </w:rPr>
      </w:pPr>
      <w:r>
        <w:rPr>
          <w:rFonts w:hint="eastAsia" w:ascii="宋体" w:hAnsi="宋体"/>
          <w:color w:val="000000"/>
          <w:kern w:val="58"/>
          <w:sz w:val="21"/>
          <w:szCs w:val="20"/>
        </w:rPr>
        <w:t>1、比选申请人应保证主要部件的材质、规格与需求相符，在任何时候，比选发起人如发现材质、规格等不符合要求，比选申请人应无偿更换，比选发起人保留进一步追究受比选申请人责任的权利。</w:t>
      </w:r>
    </w:p>
    <w:p>
      <w:pPr>
        <w:rPr>
          <w:rFonts w:ascii="宋体" w:hAnsi="宋体"/>
          <w:color w:val="000000"/>
          <w:kern w:val="58"/>
          <w:sz w:val="21"/>
          <w:szCs w:val="20"/>
        </w:rPr>
      </w:pPr>
      <w:r>
        <w:rPr>
          <w:rFonts w:hint="eastAsia" w:ascii="宋体" w:hAnsi="宋体"/>
          <w:color w:val="000000"/>
          <w:kern w:val="58"/>
          <w:sz w:val="21"/>
          <w:szCs w:val="20"/>
        </w:rPr>
        <w:t>2、比选申请人在施工过程中必须在运营分公司指定的作业时间和区域内进行施工，施工过程中不得影响或损坏其它专业的设备设施，如因此造成损失的由比选申请人承担全部责任。</w:t>
      </w:r>
    </w:p>
    <w:p>
      <w:pPr>
        <w:rPr>
          <w:rFonts w:ascii="宋体" w:hAnsi="宋体"/>
          <w:color w:val="000000"/>
          <w:kern w:val="58"/>
          <w:sz w:val="21"/>
          <w:szCs w:val="20"/>
        </w:rPr>
      </w:pPr>
      <w:r>
        <w:rPr>
          <w:rFonts w:hint="eastAsia" w:ascii="宋体" w:hAnsi="宋体"/>
          <w:color w:val="000000"/>
          <w:kern w:val="58"/>
          <w:sz w:val="21"/>
          <w:szCs w:val="20"/>
        </w:rPr>
        <w:t>3、保质期自该项目验收通过之日起计36个月，并且比选申请人在宁波设立驻点机构，组织有经验的技术人员进行现场技术服务。本项目所涉及到的产品在保质期内出现任何故障情况或质量问题，比选申请人在我方通知后2小时内到达现场，并完成故障处理。如比选申请人不能及时的维修、更换，造成我方损失由比选申请人负责，我方将以书面形式通知比选申请人，并向比选申请人提出赔偿，如更换产品的，比选申请人更换产品的保质期将从更换产品验收合格之日起开始重新计算。</w:t>
      </w:r>
      <w:bookmarkStart w:id="4" w:name="_GoBack"/>
      <w:bookmarkEnd w:id="4"/>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方正姚体">
    <w:panose1 w:val="02010601030101010101"/>
    <w:charset w:val="86"/>
    <w:family w:val="auto"/>
    <w:pitch w:val="default"/>
    <w:sig w:usb0="00000003"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Century">
    <w:panose1 w:val="02040604050505020304"/>
    <w:charset w:val="00"/>
    <w:family w:val="roman"/>
    <w:pitch w:val="default"/>
    <w:sig w:usb0="00000287" w:usb1="00000000" w:usb2="00000000" w:usb3="00000000" w:csb0="2000009F" w:csb1="DFD70000"/>
  </w:font>
  <w:font w:name="金山简魏碑">
    <w:altName w:val="宋体"/>
    <w:panose1 w:val="00000000000000000000"/>
    <w:charset w:val="86"/>
    <w:family w:val="modern"/>
    <w:pitch w:val="default"/>
    <w:sig w:usb0="00000000" w:usb1="00000000" w:usb2="00000010" w:usb3="00000000" w:csb0="00040000" w:csb1="00000000"/>
  </w:font>
  <w:font w:name="FuturaA Bk BT">
    <w:altName w:val="Times New Roman"/>
    <w:panose1 w:val="00000000000000000000"/>
    <w:charset w:val="00"/>
    <w:family w:val="auto"/>
    <w:pitch w:val="default"/>
    <w:sig w:usb0="00000000" w:usb1="00000000" w:usb2="00000000" w:usb3="00000000" w:csb0="0000001B"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FE7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widowControl/>
      <w:spacing w:before="340" w:after="330" w:line="578" w:lineRule="atLeast"/>
      <w:jc w:val="left"/>
      <w:outlineLvl w:val="0"/>
    </w:pPr>
    <w:rPr>
      <w:b/>
      <w:bCs/>
      <w:kern w:val="44"/>
      <w:sz w:val="44"/>
      <w:szCs w:val="44"/>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Plain Text"/>
    <w:basedOn w:val="1"/>
    <w:uiPriority w:val="0"/>
    <w:pPr>
      <w:spacing w:line="240" w:lineRule="auto"/>
    </w:pPr>
    <w:rPr>
      <w:rFonts w:ascii="宋体" w:hAnsi="Courier New"/>
      <w:kern w:val="0"/>
      <w:sz w:val="20"/>
      <w:szCs w:val="20"/>
    </w:rPr>
  </w:style>
  <w:style w:type="paragraph" w:styleId="4">
    <w:name w:val="Normal (Web)"/>
    <w:basedOn w:val="1"/>
    <w:uiPriority w:val="0"/>
    <w:pPr>
      <w:widowControl/>
      <w:spacing w:before="100" w:beforeAutospacing="1" w:after="100" w:afterAutospacing="1" w:line="240" w:lineRule="auto"/>
      <w:jc w:val="left"/>
    </w:pPr>
    <w:rPr>
      <w:rFonts w:ascii="宋体" w:hAnsi="宋体"/>
      <w:color w:val="000000"/>
      <w:kern w:val="0"/>
    </w:rPr>
  </w:style>
  <w:style w:type="paragraph" w:customStyle="1" w:styleId="7">
    <w:name w:val="列表段落1"/>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123</dc:creator>
  <cp:lastModifiedBy>孙艳</cp:lastModifiedBy>
  <dcterms:modified xsi:type="dcterms:W3CDTF">2020-08-17T03:16:46Z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