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sz w:val="44"/>
          <w:szCs w:val="44"/>
          <w:lang w:val="en-US" w:eastAsia="zh-CN"/>
        </w:rPr>
      </w:pPr>
      <w:r>
        <w:rPr>
          <w:rFonts w:hint="eastAsia" w:ascii="黑体" w:eastAsia="黑体"/>
          <w:color w:val="000000"/>
          <w:sz w:val="44"/>
          <w:szCs w:val="48"/>
          <w:lang w:eastAsia="zh-CN"/>
        </w:rPr>
        <w:t>安全警示片</w:t>
      </w:r>
      <w:r>
        <w:rPr>
          <w:rFonts w:hint="eastAsia" w:ascii="方正小标宋简体" w:eastAsia="方正小标宋简体"/>
          <w:sz w:val="44"/>
          <w:szCs w:val="44"/>
          <w:lang w:val="en-US" w:eastAsia="zh-CN"/>
        </w:rPr>
        <w:t>项目需求书</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一、项目介绍</w:t>
      </w:r>
    </w:p>
    <w:p>
      <w:pPr>
        <w:numPr>
          <w:ilvl w:val="0"/>
          <w:numId w:val="0"/>
        </w:numPr>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交通运输部《城市轨道交通运营险性事件报告与分析管理办法》的相关规定，运营单位应对本单位发生的运营险性事件制作安全警示片等多种形式的安全警示材料。故为满足相关规定，需制作符合宁波轨道交通运营实际需求的安全警示片。</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二、项目需求</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本次项目计划制作约300秒的安全警示片，安全警示片共分为4个场景（</w:t>
      </w:r>
      <w:r>
        <w:rPr>
          <w:rFonts w:hint="eastAsia" w:ascii="仿宋_GB2312" w:hAnsi="仿宋_GB2312" w:eastAsia="仿宋_GB2312" w:cs="仿宋_GB2312"/>
          <w:b w:val="0"/>
          <w:bCs w:val="0"/>
          <w:sz w:val="32"/>
          <w:szCs w:val="32"/>
          <w:lang w:val="en-US" w:eastAsia="zh-CN"/>
        </w:rPr>
        <w:t>“7.27”天童庄车辆段挤岔事件案例、交通安全、消防安全及劳动安全）。视频主要以</w:t>
      </w:r>
      <w:r>
        <w:rPr>
          <w:rFonts w:hint="eastAsia" w:ascii="仿宋_GB2312" w:hAnsi="仿宋_GB2312" w:eastAsia="仿宋_GB2312" w:cs="仿宋_GB2312"/>
          <w:sz w:val="32"/>
          <w:szCs w:val="32"/>
          <w:lang w:val="en-US" w:eastAsia="zh-CN"/>
        </w:rPr>
        <w:t>三维影视动画展现事故场景、2D平面图形进行案例分析的方式构成。</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（一）总体要求</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视频主要服务内容要求包括前期（故事脚本创作、角色概念设计、二维分镜设计）、模型（场景人物建模、材质贴图、人物骨骼绑定）、动画（镜头运动、角色运动）及后期（场景特效、灯光渲染合成、配音字幕、剪辑合成等）。</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（二）技术标准</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1.分辨率不得低于</w:t>
      </w:r>
      <w:bookmarkStart w:id="0" w:name="_GoBack"/>
      <w:r>
        <w:rPr>
          <w:rFonts w:hint="eastAsia" w:ascii="仿宋_GB2312" w:hAnsi="仿宋_GB2312" w:eastAsia="仿宋_GB2312" w:cs="仿宋_GB2312"/>
          <w:color w:val="auto"/>
          <w:sz w:val="32"/>
          <w:szCs w:val="32"/>
          <w:lang w:val="en-US" w:eastAsia="zh-CN"/>
        </w:rPr>
        <w:t>1920*1080，视</w:t>
      </w:r>
      <w:bookmarkEnd w:id="0"/>
      <w:r>
        <w:rPr>
          <w:rFonts w:hint="eastAsia" w:ascii="仿宋_GB2312" w:hAnsi="仿宋_GB2312" w:eastAsia="仿宋_GB2312" w:cs="仿宋_GB2312"/>
          <w:sz w:val="32"/>
          <w:szCs w:val="32"/>
          <w:lang w:val="en-US" w:eastAsia="zh-CN"/>
        </w:rPr>
        <w:t>频帧率不得低于25fps，码率不得低于5Mbps，格式以flv/mp4/avi/pal/dv等主流高清通用视频文件格式为主；</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2.场景模型应采用多边形及曲线建模方式，模型布线合理，在能充分表达设计的情况下，使用较少布线，模型中不能有多余的点和未进行缝合的点，使用Optimize Game Objects减少节点,所有贴图UV大小要准确，避免失真；</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3.压缩纹理、优化精灵填充率、压缩动画、压缩声音、压缩UI（九宫格优于拉伸）；严格控制模型面数、纹理数、角色骨骼数；</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4.镜头和角色运动应协调，角色毛发衣服应具备正确合理的运动规律、肌肉构造挤压有变形效果；</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5.动画和场景的合成应对位、构图正确，人物和环境前后遮挡关系正确，不存在对位、透视、比例等问题；</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6.画面清晰、剪辑流畅，不能存在任何形式的闪动（比如图像抗锯齿不足、噪点、黑斑、共面、光子闪烁、跳帧、相机运动不流畅等），影片结构逻辑关系通顺、表意简明、包装风格干净、节奏明朗；</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7.普通话二级甲等主播配音，同时配有中文字幕，文字与图片和谐自然，配音、文案与画面衔接恰当、流畅。</w:t>
      </w:r>
    </w:p>
    <w:p>
      <w:pPr>
        <w:tabs>
          <w:tab w:val="left" w:pos="705"/>
          <w:tab w:val="center" w:pos="6376"/>
        </w:tabs>
        <w:jc w:val="left"/>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hAnsi="宋体"/>
          <w:b/>
          <w:szCs w:val="21"/>
          <w:lang w:eastAsia="zh-CN"/>
        </w:rPr>
        <w:tab/>
      </w:r>
      <w:r>
        <w:rPr>
          <w:rFonts w:hint="eastAsia" w:ascii="仿宋_GB2312" w:hAnsi="仿宋_GB2312" w:eastAsia="仿宋_GB2312" w:cs="仿宋_GB2312"/>
          <w:b w:val="0"/>
          <w:bCs/>
          <w:sz w:val="32"/>
          <w:szCs w:val="32"/>
          <w:lang w:val="en-US" w:eastAsia="zh-CN"/>
        </w:rPr>
        <w:t>8.比选申请人应提供符合上述技术要求的相关3D动画样片进行参考。</w:t>
      </w:r>
      <w:r>
        <w:rPr>
          <w:rFonts w:hint="eastAsia" w:ascii="仿宋_GB2312" w:hAnsi="仿宋_GB2312" w:eastAsia="仿宋_GB2312" w:cs="仿宋_GB2312"/>
          <w:b w:val="0"/>
          <w:bCs/>
          <w:sz w:val="32"/>
          <w:szCs w:val="32"/>
          <w:lang w:eastAsia="zh-CN"/>
        </w:rPr>
        <w:tab/>
      </w:r>
    </w:p>
    <w:p>
      <w:pPr>
        <w:ind w:firstLine="640" w:firstLineChars="200"/>
        <w:rPr>
          <w:rFonts w:ascii="宋体" w:hAnsi="宋体" w:cs="宋体"/>
          <w:sz w:val="21"/>
          <w:szCs w:val="21"/>
        </w:rPr>
      </w:pPr>
      <w:r>
        <w:rPr>
          <w:rFonts w:hint="eastAsia" w:ascii="仿宋_GB2312" w:hAnsi="仿宋_GB2312" w:eastAsia="仿宋_GB2312" w:cs="仿宋_GB2312"/>
          <w:b w:val="0"/>
          <w:bCs/>
          <w:sz w:val="32"/>
          <w:szCs w:val="32"/>
          <w:lang w:val="en-US" w:eastAsia="zh-CN"/>
        </w:rPr>
        <w:t>9.合同签订之日起，10日内完成视频方案确定。视频方案确认后30个工作日内完成视频初稿制作；初稿完成后15个工作日内完成成品制作。</w:t>
      </w:r>
    </w:p>
    <w:p>
      <w:pPr>
        <w:pStyle w:val="2"/>
        <w:numPr>
          <w:ilvl w:val="0"/>
          <w:numId w:val="0"/>
        </w:numPr>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三、需求列表</w:t>
      </w:r>
    </w:p>
    <w:tbl>
      <w:tblPr>
        <w:tblStyle w:val="5"/>
        <w:tblW w:w="93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2011"/>
        <w:gridCol w:w="990"/>
        <w:gridCol w:w="780"/>
        <w:gridCol w:w="968"/>
        <w:gridCol w:w="2022"/>
        <w:gridCol w:w="2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1" w:type="dxa"/>
            <w:tcBorders>
              <w:top w:val="single" w:color="auto" w:sz="4" w:space="0"/>
              <w:left w:val="single" w:color="auto" w:sz="4" w:space="0"/>
              <w:bottom w:val="single" w:color="auto" w:sz="4" w:space="0"/>
              <w:right w:val="single" w:color="auto" w:sz="4" w:space="0"/>
            </w:tcBorders>
            <w:vAlign w:val="center"/>
          </w:tcPr>
          <w:p>
            <w:pPr>
              <w:jc w:val="center"/>
            </w:pPr>
            <w:r>
              <w:rPr>
                <w:rFonts w:asciiTheme="minorEastAsia" w:hAnsiTheme="minorEastAsia" w:eastAsiaTheme="minorEastAsia"/>
                <w:color w:val="0D0D0D" w:themeColor="text1" w:themeTint="F2"/>
                <w:sz w:val="21"/>
                <w:szCs w:val="21"/>
                <w14:textFill>
                  <w14:solidFill>
                    <w14:schemeClr w14:val="tx1">
                      <w14:lumMod w14:val="95000"/>
                      <w14:lumOff w14:val="5000"/>
                    </w14:schemeClr>
                  </w14:solidFill>
                </w14:textFill>
              </w:rPr>
              <w:t>序号</w:t>
            </w:r>
          </w:p>
        </w:tc>
        <w:tc>
          <w:tcPr>
            <w:tcW w:w="201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Theme="minorEastAsia" w:hAnsiTheme="minorEastAsia" w:eastAsiaTheme="minorEastAsia"/>
                <w:color w:val="0D0D0D" w:themeColor="text1" w:themeTint="F2"/>
                <w:sz w:val="21"/>
                <w:szCs w:val="21"/>
                <w14:textFill>
                  <w14:solidFill>
                    <w14:schemeClr w14:val="tx1">
                      <w14:lumMod w14:val="95000"/>
                      <w14:lumOff w14:val="5000"/>
                    </w14:schemeClr>
                  </w14:solidFill>
                </w14:textFill>
              </w:rPr>
              <w:t>名称</w:t>
            </w:r>
          </w:p>
        </w:tc>
        <w:tc>
          <w:tcPr>
            <w:tcW w:w="990"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Theme="minorEastAsia" w:hAnsiTheme="minorEastAsia" w:eastAsiaTheme="minorEastAsia"/>
                <w:color w:val="0D0D0D" w:themeColor="text1" w:themeTint="F2"/>
                <w:sz w:val="21"/>
                <w:szCs w:val="21"/>
                <w14:textFill>
                  <w14:solidFill>
                    <w14:schemeClr w14:val="tx1">
                      <w14:lumMod w14:val="95000"/>
                      <w14:lumOff w14:val="5000"/>
                    </w14:schemeClr>
                  </w14:solidFill>
                </w14:textFill>
              </w:rPr>
              <w:t>数量</w:t>
            </w:r>
          </w:p>
        </w:tc>
        <w:tc>
          <w:tcPr>
            <w:tcW w:w="780"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Theme="minorEastAsia" w:hAnsiTheme="minorEastAsia" w:eastAsiaTheme="minorEastAsia"/>
                <w:color w:val="0D0D0D" w:themeColor="text1" w:themeTint="F2"/>
                <w:sz w:val="21"/>
                <w:szCs w:val="21"/>
                <w14:textFill>
                  <w14:solidFill>
                    <w14:schemeClr w14:val="tx1">
                      <w14:lumMod w14:val="95000"/>
                      <w14:lumOff w14:val="5000"/>
                    </w14:schemeClr>
                  </w14:solidFill>
                </w14:textFill>
              </w:rPr>
              <w:t>单位</w:t>
            </w:r>
          </w:p>
        </w:tc>
        <w:tc>
          <w:tcPr>
            <w:tcW w:w="968" w:type="dxa"/>
            <w:vAlign w:val="center"/>
          </w:tcPr>
          <w:p>
            <w:pPr>
              <w:jc w:val="center"/>
              <w:rPr>
                <w:rFonts w:hint="eastAsia" w:ascii="仿宋_GB2312" w:hAnsi="仿宋_GB2312" w:eastAsia="仿宋_GB2312" w:cs="仿宋_GB2312"/>
                <w:b w:val="0"/>
                <w:bCs/>
                <w:sz w:val="32"/>
                <w:szCs w:val="32"/>
                <w:vertAlign w:val="baseline"/>
                <w:lang w:val="en-US" w:eastAsia="zh-CN"/>
              </w:rPr>
            </w:pPr>
            <w:r>
              <w:rPr>
                <w:rFonts w:hint="eastAsia" w:asciiTheme="minorEastAsia" w:hAnsiTheme="minorEastAsia" w:eastAsiaTheme="minorEastAsia"/>
                <w:color w:val="0D0D0D" w:themeColor="text1" w:themeTint="F2"/>
                <w:sz w:val="21"/>
                <w:szCs w:val="21"/>
                <w14:textFill>
                  <w14:solidFill>
                    <w14:schemeClr w14:val="tx1">
                      <w14:lumMod w14:val="95000"/>
                      <w14:lumOff w14:val="5000"/>
                    </w14:schemeClr>
                  </w14:solidFill>
                </w14:textFill>
              </w:rPr>
              <w:t>单价（含税）</w:t>
            </w:r>
          </w:p>
        </w:tc>
        <w:tc>
          <w:tcPr>
            <w:tcW w:w="2022" w:type="dxa"/>
            <w:vAlign w:val="center"/>
          </w:tcPr>
          <w:p>
            <w:pPr>
              <w:jc w:val="center"/>
              <w:rPr>
                <w:rFonts w:hint="eastAsia" w:ascii="仿宋_GB2312" w:hAnsi="仿宋_GB2312" w:eastAsia="仿宋_GB2312" w:cs="仿宋_GB2312"/>
                <w:b w:val="0"/>
                <w:bCs/>
                <w:sz w:val="32"/>
                <w:szCs w:val="32"/>
                <w:vertAlign w:val="baseline"/>
                <w:lang w:val="en-US" w:eastAsia="zh-CN"/>
              </w:rPr>
            </w:pPr>
            <w:r>
              <w:rPr>
                <w:rFonts w:hint="eastAsia" w:asciiTheme="minorEastAsia" w:hAnsiTheme="minorEastAsia" w:eastAsiaTheme="minorEastAsia"/>
                <w:color w:val="0D0D0D" w:themeColor="text1" w:themeTint="F2"/>
                <w:sz w:val="21"/>
                <w:szCs w:val="21"/>
                <w14:textFill>
                  <w14:solidFill>
                    <w14:schemeClr w14:val="tx1">
                      <w14:lumMod w14:val="95000"/>
                      <w14:lumOff w14:val="5000"/>
                    </w14:schemeClr>
                  </w14:solidFill>
                </w14:textFill>
              </w:rPr>
              <w:t>合价（含税）</w:t>
            </w:r>
          </w:p>
        </w:tc>
        <w:tc>
          <w:tcPr>
            <w:tcW w:w="2006" w:type="dxa"/>
            <w:vAlign w:val="center"/>
          </w:tcPr>
          <w:p>
            <w:pPr>
              <w:jc w:val="center"/>
              <w:rPr>
                <w:rFonts w:hint="eastAsia" w:ascii="仿宋_GB2312" w:hAnsi="仿宋_GB2312" w:eastAsia="仿宋_GB2312" w:cs="仿宋_GB2312"/>
                <w:b w:val="0"/>
                <w:bCs/>
                <w:sz w:val="32"/>
                <w:szCs w:val="32"/>
                <w:vertAlign w:val="baseline"/>
                <w:lang w:val="en-US" w:eastAsia="zh-CN"/>
              </w:rPr>
            </w:pPr>
            <w:r>
              <w:rPr>
                <w:rFonts w:hint="eastAsia" w:asciiTheme="minorEastAsia" w:hAnsiTheme="minorEastAsia" w:eastAsiaTheme="minorEastAsia"/>
                <w:color w:val="0D0D0D" w:themeColor="text1" w:themeTint="F2"/>
                <w:sz w:val="21"/>
                <w:szCs w:val="21"/>
                <w14:textFill>
                  <w14:solidFill>
                    <w14:schemeClr w14:val="tx1">
                      <w14:lumMod w14:val="95000"/>
                      <w14:lumOff w14:val="5000"/>
                    </w14:schemeClr>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color w:val="0D0D0D" w:themeColor="text1" w:themeTint="F2"/>
                <w:sz w:val="28"/>
                <w:szCs w:val="28"/>
                <w14:textFill>
                  <w14:solidFill>
                    <w14:schemeClr w14:val="tx1">
                      <w14:lumMod w14:val="95000"/>
                      <w14:lumOff w14:val="5000"/>
                    </w14:schemeClr>
                  </w14:solidFill>
                </w14:textFill>
              </w:rPr>
              <w:t>1</w:t>
            </w:r>
          </w:p>
        </w:tc>
        <w:tc>
          <w:tcPr>
            <w:tcW w:w="20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前期策划</w:t>
            </w:r>
          </w:p>
        </w:tc>
        <w:tc>
          <w:tcPr>
            <w:tcW w:w="990" w:type="dxa"/>
            <w:tcBorders>
              <w:top w:val="single" w:color="auto" w:sz="4" w:space="0"/>
              <w:left w:val="single" w:color="auto" w:sz="4" w:space="0"/>
              <w:bottom w:val="single" w:color="auto" w:sz="4" w:space="0"/>
              <w:right w:val="single" w:color="auto" w:sz="4" w:space="0"/>
            </w:tcBorders>
            <w:vAlign w:val="center"/>
          </w:tcPr>
          <w:p>
            <w:pPr>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1</w:t>
            </w:r>
          </w:p>
        </w:tc>
        <w:tc>
          <w:tcPr>
            <w:tcW w:w="78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b/>
                <w:color w:val="0D0D0D" w:themeColor="text1" w:themeTint="F2"/>
                <w:sz w:val="28"/>
                <w:szCs w:val="28"/>
                <w:lang w:val="en-US" w:eastAsia="zh-CN"/>
                <w14:textFill>
                  <w14:solidFill>
                    <w14:schemeClr w14:val="tx1">
                      <w14:lumMod w14:val="95000"/>
                      <w14:lumOff w14:val="5000"/>
                    </w14:schemeClr>
                  </w14:solidFill>
                </w14:textFill>
              </w:rPr>
              <w:t>项</w:t>
            </w:r>
          </w:p>
        </w:tc>
        <w:tc>
          <w:tcPr>
            <w:tcW w:w="968" w:type="dxa"/>
          </w:tcPr>
          <w:p>
            <w:pPr>
              <w:pStyle w:val="2"/>
              <w:numPr>
                <w:ilvl w:val="0"/>
                <w:numId w:val="0"/>
              </w:numPr>
              <w:jc w:val="center"/>
              <w:rPr>
                <w:rFonts w:hint="eastAsia" w:ascii="仿宋_GB2312" w:hAnsi="仿宋_GB2312" w:eastAsia="仿宋_GB2312" w:cs="仿宋_GB2312"/>
                <w:b w:val="0"/>
                <w:bCs/>
                <w:sz w:val="28"/>
                <w:szCs w:val="28"/>
                <w:vertAlign w:val="baseline"/>
                <w:lang w:val="en-US" w:eastAsia="zh-CN"/>
              </w:rPr>
            </w:pPr>
          </w:p>
        </w:tc>
        <w:tc>
          <w:tcPr>
            <w:tcW w:w="2022" w:type="dxa"/>
          </w:tcPr>
          <w:p>
            <w:pPr>
              <w:pStyle w:val="2"/>
              <w:numPr>
                <w:ilvl w:val="0"/>
                <w:numId w:val="0"/>
              </w:numPr>
              <w:jc w:val="center"/>
              <w:rPr>
                <w:rFonts w:hint="eastAsia" w:ascii="仿宋_GB2312" w:hAnsi="仿宋_GB2312" w:eastAsia="仿宋_GB2312" w:cs="仿宋_GB2312"/>
                <w:b w:val="0"/>
                <w:bCs/>
                <w:sz w:val="28"/>
                <w:szCs w:val="28"/>
                <w:vertAlign w:val="baseline"/>
                <w:lang w:val="en-US" w:eastAsia="zh-CN"/>
              </w:rPr>
            </w:pPr>
          </w:p>
        </w:tc>
        <w:tc>
          <w:tcPr>
            <w:tcW w:w="2006" w:type="dxa"/>
            <w:vMerge w:val="restart"/>
          </w:tcPr>
          <w:p>
            <w:pPr>
              <w:pStyle w:val="2"/>
              <w:numPr>
                <w:ilvl w:val="0"/>
                <w:numId w:val="0"/>
              </w:numPr>
              <w:jc w:val="both"/>
              <w:rPr>
                <w:rFonts w:hint="eastAsia" w:ascii="仿宋_GB2312" w:hAnsi="仿宋_GB2312" w:eastAsia="仿宋_GB2312" w:cs="仿宋_GB2312"/>
                <w:b w:val="0"/>
                <w:bCs/>
                <w:sz w:val="32"/>
                <w:szCs w:val="32"/>
                <w:vertAlign w:val="baseline"/>
                <w:lang w:val="en-US" w:eastAsia="zh-CN"/>
              </w:rPr>
            </w:pPr>
            <w:r>
              <w:rPr>
                <w:rFonts w:hint="eastAsia" w:ascii="仿宋_GB2312" w:hAnsi="仿宋_GB2312" w:eastAsia="仿宋_GB2312" w:cs="仿宋_GB2312"/>
                <w:b w:val="0"/>
                <w:bCs w:val="0"/>
                <w:sz w:val="28"/>
                <w:szCs w:val="28"/>
                <w:lang w:val="en-US" w:eastAsia="zh-CN"/>
              </w:rPr>
              <w:t>本项目视频时长共300秒，分为4个场景，每个场景独立制作合成。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color w:val="0D0D0D" w:themeColor="text1" w:themeTint="F2"/>
                <w:sz w:val="28"/>
                <w:szCs w:val="28"/>
                <w14:textFill>
                  <w14:solidFill>
                    <w14:schemeClr w14:val="tx1">
                      <w14:lumMod w14:val="95000"/>
                      <w14:lumOff w14:val="5000"/>
                    </w14:schemeClr>
                  </w14:solidFill>
                </w14:textFill>
              </w:rPr>
              <w:t>2</w:t>
            </w:r>
          </w:p>
        </w:tc>
        <w:tc>
          <w:tcPr>
            <w:tcW w:w="20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三维模型</w:t>
            </w:r>
          </w:p>
        </w:tc>
        <w:tc>
          <w:tcPr>
            <w:tcW w:w="990" w:type="dxa"/>
            <w:tcBorders>
              <w:top w:val="single" w:color="auto" w:sz="4" w:space="0"/>
              <w:left w:val="single" w:color="auto" w:sz="4" w:space="0"/>
              <w:bottom w:val="single" w:color="auto" w:sz="4" w:space="0"/>
              <w:right w:val="single" w:color="auto" w:sz="4" w:space="0"/>
            </w:tcBorders>
            <w:vAlign w:val="center"/>
          </w:tcPr>
          <w:p>
            <w:pPr>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1</w:t>
            </w:r>
          </w:p>
        </w:tc>
        <w:tc>
          <w:tcPr>
            <w:tcW w:w="78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项</w:t>
            </w:r>
          </w:p>
        </w:tc>
        <w:tc>
          <w:tcPr>
            <w:tcW w:w="968" w:type="dxa"/>
          </w:tcPr>
          <w:p>
            <w:pPr>
              <w:pStyle w:val="2"/>
              <w:numPr>
                <w:ilvl w:val="0"/>
                <w:numId w:val="0"/>
              </w:numPr>
              <w:jc w:val="center"/>
              <w:rPr>
                <w:rFonts w:hint="eastAsia" w:ascii="仿宋_GB2312" w:hAnsi="仿宋_GB2312" w:eastAsia="仿宋_GB2312" w:cs="仿宋_GB2312"/>
                <w:b w:val="0"/>
                <w:bCs/>
                <w:sz w:val="28"/>
                <w:szCs w:val="28"/>
                <w:vertAlign w:val="baseline"/>
                <w:lang w:val="en-US" w:eastAsia="zh-CN"/>
              </w:rPr>
            </w:pPr>
          </w:p>
        </w:tc>
        <w:tc>
          <w:tcPr>
            <w:tcW w:w="2022" w:type="dxa"/>
          </w:tcPr>
          <w:p>
            <w:pPr>
              <w:pStyle w:val="2"/>
              <w:numPr>
                <w:ilvl w:val="0"/>
                <w:numId w:val="0"/>
              </w:numPr>
              <w:jc w:val="center"/>
              <w:rPr>
                <w:rFonts w:hint="eastAsia" w:ascii="仿宋_GB2312" w:hAnsi="仿宋_GB2312" w:eastAsia="仿宋_GB2312" w:cs="仿宋_GB2312"/>
                <w:b w:val="0"/>
                <w:bCs/>
                <w:sz w:val="28"/>
                <w:szCs w:val="28"/>
                <w:vertAlign w:val="baseline"/>
                <w:lang w:val="en-US" w:eastAsia="zh-CN"/>
              </w:rPr>
            </w:pPr>
          </w:p>
        </w:tc>
        <w:tc>
          <w:tcPr>
            <w:tcW w:w="2006" w:type="dxa"/>
            <w:vMerge w:val="continue"/>
          </w:tcPr>
          <w:p>
            <w:pPr>
              <w:pStyle w:val="2"/>
              <w:numPr>
                <w:ilvl w:val="0"/>
                <w:numId w:val="0"/>
              </w:numPr>
              <w:jc w:val="both"/>
              <w:rPr>
                <w:rFonts w:hint="eastAsia" w:ascii="仿宋_GB2312" w:hAnsi="仿宋_GB2312" w:eastAsia="仿宋_GB2312" w:cs="仿宋_GB2312"/>
                <w:b w:val="0"/>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3</w:t>
            </w:r>
          </w:p>
        </w:tc>
        <w:tc>
          <w:tcPr>
            <w:tcW w:w="20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动画</w:t>
            </w:r>
          </w:p>
        </w:tc>
        <w:tc>
          <w:tcPr>
            <w:tcW w:w="990" w:type="dxa"/>
            <w:tcBorders>
              <w:top w:val="single" w:color="auto" w:sz="4" w:space="0"/>
              <w:left w:val="single" w:color="auto" w:sz="4" w:space="0"/>
              <w:bottom w:val="single" w:color="auto" w:sz="4" w:space="0"/>
              <w:right w:val="single" w:color="auto" w:sz="4" w:space="0"/>
            </w:tcBorders>
            <w:vAlign w:val="center"/>
          </w:tcPr>
          <w:p>
            <w:pPr>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1</w:t>
            </w:r>
          </w:p>
        </w:tc>
        <w:tc>
          <w:tcPr>
            <w:tcW w:w="78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项</w:t>
            </w:r>
          </w:p>
        </w:tc>
        <w:tc>
          <w:tcPr>
            <w:tcW w:w="968" w:type="dxa"/>
          </w:tcPr>
          <w:p>
            <w:pPr>
              <w:pStyle w:val="2"/>
              <w:numPr>
                <w:ilvl w:val="0"/>
                <w:numId w:val="0"/>
              </w:numPr>
              <w:jc w:val="center"/>
              <w:rPr>
                <w:rFonts w:hint="eastAsia" w:ascii="仿宋_GB2312" w:hAnsi="仿宋_GB2312" w:eastAsia="仿宋_GB2312" w:cs="仿宋_GB2312"/>
                <w:b w:val="0"/>
                <w:bCs/>
                <w:sz w:val="28"/>
                <w:szCs w:val="28"/>
                <w:vertAlign w:val="baseline"/>
                <w:lang w:val="en-US" w:eastAsia="zh-CN"/>
              </w:rPr>
            </w:pPr>
          </w:p>
        </w:tc>
        <w:tc>
          <w:tcPr>
            <w:tcW w:w="2022" w:type="dxa"/>
          </w:tcPr>
          <w:p>
            <w:pPr>
              <w:pStyle w:val="2"/>
              <w:numPr>
                <w:ilvl w:val="0"/>
                <w:numId w:val="0"/>
              </w:numPr>
              <w:jc w:val="center"/>
              <w:rPr>
                <w:rFonts w:hint="eastAsia" w:ascii="仿宋_GB2312" w:hAnsi="仿宋_GB2312" w:eastAsia="仿宋_GB2312" w:cs="仿宋_GB2312"/>
                <w:b w:val="0"/>
                <w:bCs/>
                <w:sz w:val="28"/>
                <w:szCs w:val="28"/>
                <w:vertAlign w:val="baseline"/>
                <w:lang w:val="en-US" w:eastAsia="zh-CN"/>
              </w:rPr>
            </w:pPr>
          </w:p>
        </w:tc>
        <w:tc>
          <w:tcPr>
            <w:tcW w:w="2006" w:type="dxa"/>
            <w:vMerge w:val="continue"/>
          </w:tcPr>
          <w:p>
            <w:pPr>
              <w:pStyle w:val="2"/>
              <w:numPr>
                <w:ilvl w:val="0"/>
                <w:numId w:val="0"/>
              </w:numPr>
              <w:jc w:val="both"/>
              <w:rPr>
                <w:rFonts w:hint="eastAsia" w:ascii="仿宋_GB2312" w:hAnsi="仿宋_GB2312" w:eastAsia="仿宋_GB2312" w:cs="仿宋_GB2312"/>
                <w:b w:val="0"/>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4</w:t>
            </w:r>
          </w:p>
        </w:tc>
        <w:tc>
          <w:tcPr>
            <w:tcW w:w="20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后期合成</w:t>
            </w:r>
          </w:p>
        </w:tc>
        <w:tc>
          <w:tcPr>
            <w:tcW w:w="990" w:type="dxa"/>
            <w:tcBorders>
              <w:top w:val="single" w:color="auto" w:sz="4" w:space="0"/>
              <w:left w:val="single" w:color="auto" w:sz="4" w:space="0"/>
              <w:bottom w:val="single" w:color="auto" w:sz="4" w:space="0"/>
              <w:right w:val="single" w:color="auto" w:sz="4" w:space="0"/>
            </w:tcBorders>
            <w:vAlign w:val="center"/>
          </w:tcPr>
          <w:p>
            <w:pPr>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1</w:t>
            </w:r>
          </w:p>
        </w:tc>
        <w:tc>
          <w:tcPr>
            <w:tcW w:w="78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项</w:t>
            </w:r>
          </w:p>
        </w:tc>
        <w:tc>
          <w:tcPr>
            <w:tcW w:w="968" w:type="dxa"/>
          </w:tcPr>
          <w:p>
            <w:pPr>
              <w:pStyle w:val="2"/>
              <w:numPr>
                <w:ilvl w:val="0"/>
                <w:numId w:val="0"/>
              </w:numPr>
              <w:jc w:val="center"/>
              <w:rPr>
                <w:rFonts w:hint="eastAsia" w:ascii="仿宋_GB2312" w:hAnsi="仿宋_GB2312" w:eastAsia="仿宋_GB2312" w:cs="仿宋_GB2312"/>
                <w:b w:val="0"/>
                <w:bCs/>
                <w:sz w:val="28"/>
                <w:szCs w:val="28"/>
                <w:vertAlign w:val="baseline"/>
                <w:lang w:val="en-US" w:eastAsia="zh-CN"/>
              </w:rPr>
            </w:pPr>
          </w:p>
        </w:tc>
        <w:tc>
          <w:tcPr>
            <w:tcW w:w="2022" w:type="dxa"/>
          </w:tcPr>
          <w:p>
            <w:pPr>
              <w:pStyle w:val="2"/>
              <w:numPr>
                <w:ilvl w:val="0"/>
                <w:numId w:val="0"/>
              </w:numPr>
              <w:jc w:val="center"/>
              <w:rPr>
                <w:rFonts w:hint="eastAsia" w:ascii="仿宋_GB2312" w:hAnsi="仿宋_GB2312" w:eastAsia="仿宋_GB2312" w:cs="仿宋_GB2312"/>
                <w:b w:val="0"/>
                <w:bCs/>
                <w:sz w:val="28"/>
                <w:szCs w:val="28"/>
                <w:vertAlign w:val="baseline"/>
                <w:lang w:val="en-US" w:eastAsia="zh-CN"/>
              </w:rPr>
            </w:pPr>
          </w:p>
        </w:tc>
        <w:tc>
          <w:tcPr>
            <w:tcW w:w="2006" w:type="dxa"/>
            <w:vMerge w:val="continue"/>
          </w:tcPr>
          <w:p>
            <w:pPr>
              <w:pStyle w:val="2"/>
              <w:numPr>
                <w:ilvl w:val="0"/>
                <w:numId w:val="0"/>
              </w:numPr>
              <w:jc w:val="both"/>
              <w:rPr>
                <w:rFonts w:hint="eastAsia" w:ascii="仿宋_GB2312" w:hAnsi="仿宋_GB2312" w:eastAsia="仿宋_GB2312" w:cs="仿宋_GB2312"/>
                <w:b w:val="0"/>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92"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合计</w:t>
            </w:r>
          </w:p>
        </w:tc>
        <w:tc>
          <w:tcPr>
            <w:tcW w:w="990" w:type="dxa"/>
            <w:tcBorders>
              <w:top w:val="single" w:color="auto" w:sz="4" w:space="0"/>
              <w:left w:val="single" w:color="auto" w:sz="4" w:space="0"/>
              <w:bottom w:val="single" w:color="auto" w:sz="4" w:space="0"/>
              <w:right w:val="single" w:color="auto" w:sz="4" w:space="0"/>
            </w:tcBorders>
            <w:vAlign w:val="center"/>
          </w:tcPr>
          <w:p>
            <w:pPr>
              <w:ind w:firstLine="560" w:firstLineChars="200"/>
              <w:jc w:val="cente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pPr>
          </w:p>
        </w:tc>
        <w:tc>
          <w:tcPr>
            <w:tcW w:w="78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p>
        </w:tc>
        <w:tc>
          <w:tcPr>
            <w:tcW w:w="968" w:type="dxa"/>
          </w:tcPr>
          <w:p>
            <w:pPr>
              <w:pStyle w:val="2"/>
              <w:numPr>
                <w:ilvl w:val="0"/>
                <w:numId w:val="0"/>
              </w:numPr>
              <w:jc w:val="center"/>
              <w:rPr>
                <w:rFonts w:hint="eastAsia" w:ascii="仿宋_GB2312" w:hAnsi="仿宋_GB2312" w:eastAsia="仿宋_GB2312" w:cs="仿宋_GB2312"/>
                <w:b w:val="0"/>
                <w:bCs/>
                <w:sz w:val="28"/>
                <w:szCs w:val="28"/>
                <w:vertAlign w:val="baseline"/>
                <w:lang w:val="en-US" w:eastAsia="zh-CN"/>
              </w:rPr>
            </w:pPr>
          </w:p>
        </w:tc>
        <w:tc>
          <w:tcPr>
            <w:tcW w:w="2022" w:type="dxa"/>
          </w:tcPr>
          <w:p>
            <w:pPr>
              <w:pStyle w:val="2"/>
              <w:numPr>
                <w:ilvl w:val="0"/>
                <w:numId w:val="0"/>
              </w:numPr>
              <w:jc w:val="center"/>
              <w:rPr>
                <w:rFonts w:hint="eastAsia" w:ascii="仿宋_GB2312" w:hAnsi="仿宋_GB2312" w:eastAsia="仿宋_GB2312" w:cs="仿宋_GB2312"/>
                <w:b w:val="0"/>
                <w:bCs/>
                <w:sz w:val="28"/>
                <w:szCs w:val="28"/>
                <w:vertAlign w:val="baseline"/>
                <w:lang w:val="en-US" w:eastAsia="zh-CN"/>
              </w:rPr>
            </w:pPr>
          </w:p>
        </w:tc>
        <w:tc>
          <w:tcPr>
            <w:tcW w:w="2006" w:type="dxa"/>
            <w:vMerge w:val="continue"/>
          </w:tcPr>
          <w:p>
            <w:pPr>
              <w:pStyle w:val="2"/>
              <w:numPr>
                <w:ilvl w:val="0"/>
                <w:numId w:val="0"/>
              </w:numPr>
              <w:jc w:val="both"/>
              <w:rPr>
                <w:rFonts w:hint="eastAsia" w:ascii="仿宋_GB2312" w:hAnsi="仿宋_GB2312" w:eastAsia="仿宋_GB2312" w:cs="仿宋_GB2312"/>
                <w:b w:val="0"/>
                <w:bCs/>
                <w:sz w:val="32"/>
                <w:szCs w:val="32"/>
                <w:vertAlign w:val="baseline"/>
                <w:lang w:val="en-US" w:eastAsia="zh-CN"/>
              </w:rPr>
            </w:pPr>
          </w:p>
        </w:tc>
      </w:tr>
    </w:tbl>
    <w:p>
      <w:pPr>
        <w:pStyle w:val="2"/>
        <w:numPr>
          <w:ilvl w:val="0"/>
          <w:numId w:val="0"/>
        </w:numPr>
        <w:rPr>
          <w:rFonts w:hint="eastAsia" w:ascii="仿宋_GB2312" w:hAnsi="仿宋_GB2312" w:eastAsia="仿宋_GB2312" w:cs="仿宋_GB2312"/>
          <w:b w:val="0"/>
          <w:bCs/>
          <w:sz w:val="32"/>
          <w:szCs w:val="32"/>
          <w:lang w:val="en-US" w:eastAsia="zh-CN"/>
        </w:rPr>
      </w:pPr>
    </w:p>
    <w:p>
      <w:pPr>
        <w:pStyle w:val="2"/>
        <w:rPr>
          <w:rFonts w:hint="eastAsia" w:ascii="仿宋_GB2312" w:hAnsi="仿宋_GB2312" w:eastAsia="仿宋_GB2312" w:cs="仿宋_GB2312"/>
          <w:b w:val="0"/>
          <w:bCs/>
          <w:sz w:val="32"/>
          <w:szCs w:val="32"/>
          <w:lang w:val="en-US" w:eastAsia="zh-CN"/>
        </w:rPr>
      </w:pPr>
    </w:p>
    <w:p>
      <w:pPr>
        <w:numPr>
          <w:ilvl w:val="0"/>
          <w:numId w:val="0"/>
        </w:numPr>
        <w:jc w:val="both"/>
        <w:rPr>
          <w:rFonts w:hint="eastAsia" w:ascii="仿宋_GB2312" w:hAnsi="仿宋_GB2312" w:eastAsia="仿宋_GB2312" w:cs="仿宋_GB2312"/>
          <w:sz w:val="32"/>
          <w:szCs w:val="32"/>
          <w:lang w:val="en-US" w:eastAsia="zh-CN"/>
        </w:rPr>
      </w:pPr>
    </w:p>
    <w:sectPr>
      <w:pgSz w:w="11906" w:h="16838"/>
      <w:pgMar w:top="2041" w:right="1474" w:bottom="1814" w:left="1587" w:header="851" w:footer="1474"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ms Rmn">
    <w:altName w:val="Segoe Print"/>
    <w:panose1 w:val="02020603040505020304"/>
    <w:charset w:val="00"/>
    <w:family w:val="roman"/>
    <w:pitch w:val="default"/>
    <w:sig w:usb0="00000000" w:usb1="00000000" w:usb2="00000000" w:usb3="00000000" w:csb0="00000001" w:csb1="00000000"/>
  </w:font>
  <w:font w:name="華康中楷體">
    <w:altName w:val="Microsoft JhengHei"/>
    <w:panose1 w:val="00000000000000000000"/>
    <w:charset w:val="88"/>
    <w:family w:val="modern"/>
    <w:pitch w:val="default"/>
    <w:sig w:usb0="00000000" w:usb1="00000000" w:usb2="00000010" w:usb3="00000000" w:csb0="0010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PMingLiU">
    <w:altName w:val="PMingLiU-ExtB"/>
    <w:panose1 w:val="02020500000000000000"/>
    <w:charset w:val="88"/>
    <w:family w:val="auto"/>
    <w:pitch w:val="default"/>
    <w:sig w:usb0="00000000" w:usb1="00000000" w:usb2="00000016" w:usb3="00000000" w:csb0="00100001" w:csb1="00000000"/>
  </w:font>
  <w:font w:name="方正姚体">
    <w:altName w:val="宋体"/>
    <w:panose1 w:val="02010601030101010101"/>
    <w:charset w:val="86"/>
    <w:family w:val="auto"/>
    <w:pitch w:val="default"/>
    <w:sig w:usb0="00000000" w:usb1="0000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Microsoft JhengHei">
    <w:panose1 w:val="020B0604030504040204"/>
    <w:charset w:val="88"/>
    <w:family w:val="auto"/>
    <w:pitch w:val="default"/>
    <w:sig w:usb0="000002A7" w:usb1="28CF4400" w:usb2="00000016" w:usb3="00000000" w:csb0="00100009" w:csb1="00000000"/>
  </w:font>
  <w:font w:name="PMingLiU-ExtB">
    <w:panose1 w:val="02020500000000000000"/>
    <w:charset w:val="88"/>
    <w:family w:val="auto"/>
    <w:pitch w:val="default"/>
    <w:sig w:usb0="8000002F" w:usb1="02000008" w:usb2="00000000" w:usb3="00000000" w:csb0="00100001" w:csb1="00000000"/>
  </w:font>
  <w:font w:name="等线">
    <w:panose1 w:val="02010600030101010101"/>
    <w:charset w:val="86"/>
    <w:family w:val="auto"/>
    <w:pitch w:val="default"/>
    <w:sig w:usb0="A00002BF" w:usb1="38CF7CFA" w:usb2="00000016" w:usb3="00000000" w:csb0="0004000F" w:csb1="00000000"/>
  </w:font>
  <w:font w:name="DejaVu Sans">
    <w:altName w:val="Times New Roman"/>
    <w:panose1 w:val="020B0604020202020204"/>
    <w:charset w:val="00"/>
    <w:family w:val="roman"/>
    <w:pitch w:val="default"/>
    <w:sig w:usb0="00000000" w:usb1="00000000" w:usb2="00000008" w:usb3="00000000" w:csb0="000001FF" w:csb1="00000000"/>
  </w:font>
  <w:font w:name="方正黑体_GBK">
    <w:altName w:val="微软雅黑"/>
    <w:panose1 w:val="020B0604020202020204"/>
    <w:charset w:val="00"/>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Arial Unicode MS">
    <w:altName w:val="宋体"/>
    <w:panose1 w:val="020B0604020202020204"/>
    <w:charset w:val="86"/>
    <w:family w:val="swiss"/>
    <w:pitch w:val="default"/>
    <w:sig w:usb0="00000000" w:usb1="00000000" w:usb2="0000003F" w:usb3="00000000" w:csb0="603F01FF" w:csb1="FFFF0000"/>
  </w:font>
  <w:font w:name="新宋体">
    <w:panose1 w:val="02010609030101010101"/>
    <w:charset w:val="86"/>
    <w:family w:val="modern"/>
    <w:pitch w:val="default"/>
    <w:sig w:usb0="00000283" w:usb1="288F0000" w:usb2="0000000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Century">
    <w:altName w:val="Times New Roman"/>
    <w:panose1 w:val="02040604050505020304"/>
    <w:charset w:val="00"/>
    <w:family w:val="roman"/>
    <w:pitch w:val="default"/>
    <w:sig w:usb0="00000000" w:usb1="00000000" w:usb2="00000000" w:usb3="00000000" w:csb0="2000009F" w:csb1="DFD70000"/>
  </w:font>
  <w:font w:name="金山简魏碑">
    <w:altName w:val="宋体"/>
    <w:panose1 w:val="00000000000000000000"/>
    <w:charset w:val="86"/>
    <w:family w:val="modern"/>
    <w:pitch w:val="default"/>
    <w:sig w:usb0="00000000" w:usb1="00000000" w:usb2="00000010" w:usb3="00000000" w:csb0="00040000" w:csb1="00000000"/>
  </w:font>
  <w:font w:name="FuturaA Bk BT">
    <w:altName w:val="Times New Roman"/>
    <w:panose1 w:val="00000000000000000000"/>
    <w:charset w:val="00"/>
    <w:family w:val="auto"/>
    <w:pitch w:val="default"/>
    <w:sig w:usb0="00000000" w:usb1="00000000" w:usb2="00000000" w:usb3="00000000" w:csb0="0000001B"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35B126D"/>
    <w:rsid w:val="15FA4DC2"/>
    <w:rsid w:val="1BE338FD"/>
    <w:rsid w:val="2389302A"/>
    <w:rsid w:val="3A4906D0"/>
    <w:rsid w:val="3B3F1999"/>
    <w:rsid w:val="415A0792"/>
    <w:rsid w:val="5106073B"/>
    <w:rsid w:val="5C4305D2"/>
    <w:rsid w:val="688979A8"/>
    <w:rsid w:val="69204034"/>
    <w:rsid w:val="708403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仿宋" w:hAnsi="仿宋" w:eastAsia="仿宋" w:cstheme="minorBidi"/>
      <w:color w:val="000000"/>
      <w:sz w:val="24"/>
      <w:lang w:val="en-US" w:eastAsia="zh-CN" w:bidi="ar-SA"/>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0</TotalTime>
  <ScaleCrop>false</ScaleCrop>
  <LinksUpToDate>false</LinksUpToDate>
  <CharactersWithSpaces>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pc</cp:lastModifiedBy>
  <dcterms:modified xsi:type="dcterms:W3CDTF">2020-10-09T07:01:41Z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