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120"/>
        <w:jc w:val="center"/>
        <w:rPr>
          <w:sz w:val="32"/>
          <w:szCs w:val="32"/>
        </w:rPr>
      </w:pPr>
      <w:bookmarkStart w:id="0" w:name="_Toc16617"/>
      <w:r>
        <w:rPr>
          <w:rFonts w:hint="eastAsia"/>
          <w:sz w:val="32"/>
          <w:szCs w:val="32"/>
        </w:rPr>
        <w:t>用户需求书</w:t>
      </w:r>
      <w:bookmarkEnd w:id="0"/>
    </w:p>
    <w:p>
      <w:pPr>
        <w:rPr>
          <w:rFonts w:hint="eastAsia"/>
          <w:b/>
        </w:rPr>
      </w:pPr>
      <w:bookmarkStart w:id="1" w:name="_Toc37419014"/>
      <w:r>
        <w:rPr>
          <w:b/>
        </w:rPr>
        <w:t>1</w:t>
      </w:r>
      <w:r>
        <w:rPr>
          <w:rFonts w:hint="eastAsia"/>
          <w:b/>
        </w:rPr>
        <w:t>.项目概况</w:t>
      </w:r>
      <w:bookmarkEnd w:id="1"/>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1.1 镟轮线钢轨打火及影响</w:t>
      </w:r>
    </w:p>
    <w:p>
      <w:pPr>
        <w:pStyle w:val="2"/>
        <w:spacing w:line="360" w:lineRule="auto"/>
        <w:ind w:firstLine="420" w:firstLineChars="200"/>
      </w:pPr>
      <w:r>
        <w:rPr>
          <w:rFonts w:hint="eastAsia" w:hAnsi="宋体"/>
          <w:color w:val="000000"/>
          <w:kern w:val="58"/>
          <w:sz w:val="21"/>
        </w:rPr>
        <w:t>既有线路1号线、2号线及3号线车辆段镟轮线库前端均为电气化股道，接触网电化至镟轮库库前，与之下锚绝缘子对应的钢轨位置设置钢轨绝缘接头一处，镟轮库库内及库后端为非电气化股道，如下图所示。</w:t>
      </w:r>
    </w:p>
    <w:p>
      <w:pPr>
        <w:tabs>
          <w:tab w:val="left" w:pos="7797"/>
        </w:tabs>
        <w:ind w:firstLine="420" w:firstLineChars="200"/>
        <w:jc w:val="left"/>
        <w:rPr>
          <w:rFonts w:hint="eastAsia" w:ascii="宋体" w:hAnsi="宋体"/>
          <w:color w:val="000000"/>
          <w:kern w:val="58"/>
          <w:sz w:val="21"/>
          <w:szCs w:val="20"/>
        </w:rPr>
      </w:pPr>
      <w:r>
        <w:rPr>
          <w:rFonts w:hint="eastAsia" w:ascii="宋体" w:hAnsi="宋体"/>
          <w:color w:val="000000"/>
          <w:kern w:val="58"/>
          <w:sz w:val="21"/>
          <w:szCs w:val="20"/>
        </w:rPr>
        <w:drawing>
          <wp:anchor distT="0" distB="0" distL="114300" distR="114300" simplePos="0" relativeHeight="251661312" behindDoc="0" locked="0" layoutInCell="1" allowOverlap="1">
            <wp:simplePos x="0" y="0"/>
            <wp:positionH relativeFrom="column">
              <wp:posOffset>-66675</wp:posOffset>
            </wp:positionH>
            <wp:positionV relativeFrom="page">
              <wp:posOffset>2969895</wp:posOffset>
            </wp:positionV>
            <wp:extent cx="4902835" cy="737235"/>
            <wp:effectExtent l="0" t="0" r="12065" b="5715"/>
            <wp:wrapSquare wrapText="left"/>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
                    <a:srcRect l="12303" t="28291" r="12114" b="31483"/>
                    <a:stretch>
                      <a:fillRect/>
                    </a:stretch>
                  </pic:blipFill>
                  <pic:spPr>
                    <a:xfrm>
                      <a:off x="0" y="0"/>
                      <a:ext cx="4902835" cy="737235"/>
                    </a:xfrm>
                    <a:prstGeom prst="rect">
                      <a:avLst/>
                    </a:prstGeom>
                    <a:noFill/>
                    <a:ln>
                      <a:noFill/>
                    </a:ln>
                  </pic:spPr>
                </pic:pic>
              </a:graphicData>
            </a:graphic>
          </wp:anchor>
        </w:drawing>
      </w:r>
      <w:r>
        <w:rPr>
          <w:rFonts w:hint="eastAsia" w:ascii="宋体" w:hAnsi="宋体"/>
          <w:color w:val="000000"/>
          <w:kern w:val="58"/>
          <w:sz w:val="21"/>
          <w:szCs w:val="20"/>
        </w:rPr>
        <w:t>当电客车行驶至库前停车降弓后，由公铁两用车牵引入库镟修作业过程中，轮对将绝缘接头两端钢轨连接，受库前端线路钢轨回流的影响，两端钢轨之间因存在电位差而放电打火。</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据车辆维修中心反映，黄隘车辆段镟轮线公铁两用车牵引电客车入库镟修作业过程中，多次出现钢轨放电打火现象。检查发现电客车轮对、公铁两用车导向轮、钢轨、镟修设备均有不同程度的损伤（如下图所示）； 同时，天童庄车辆段镟轮线不落轮镟床Park伺服驱动器板卡损坏的原因，可能也是受库前端钢轨回流的影响。</w:t>
      </w:r>
    </w:p>
    <w:p>
      <w:pPr>
        <w:pStyle w:val="2"/>
        <w:spacing w:line="360" w:lineRule="auto"/>
        <w:rPr>
          <w:rFonts w:hint="eastAsia" w:hAnsi="宋体"/>
          <w:color w:val="000000"/>
          <w:kern w:val="58"/>
          <w:sz w:val="21"/>
        </w:rPr>
      </w:pPr>
      <w:r>
        <w:rPr>
          <w:rFonts w:hAnsi="宋体" w:cs="宋体"/>
          <w:b/>
          <w:bCs/>
          <w:sz w:val="28"/>
          <w:szCs w:val="28"/>
        </w:rPr>
        <w:drawing>
          <wp:anchor distT="0" distB="0" distL="114300" distR="114300" simplePos="0" relativeHeight="251662336" behindDoc="0" locked="0" layoutInCell="1" allowOverlap="1">
            <wp:simplePos x="0" y="0"/>
            <wp:positionH relativeFrom="column">
              <wp:posOffset>2969260</wp:posOffset>
            </wp:positionH>
            <wp:positionV relativeFrom="paragraph">
              <wp:posOffset>127000</wp:posOffset>
            </wp:positionV>
            <wp:extent cx="2008505" cy="2251075"/>
            <wp:effectExtent l="0" t="0" r="10795" b="15875"/>
            <wp:wrapTopAndBottom/>
            <wp:docPr id="6" name="图片 2" descr="C:\Users\admin\AppData\Local\Temp\WeChat Files\6c821b9877e017d3bf97a77576631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C:\Users\admin\AppData\Local\Temp\WeChat Files\6c821b9877e017d3bf97a77576631a7.jpg"/>
                    <pic:cNvPicPr>
                      <a:picLocks noChangeAspect="1"/>
                    </pic:cNvPicPr>
                  </pic:nvPicPr>
                  <pic:blipFill>
                    <a:blip r:embed="rId5"/>
                    <a:stretch>
                      <a:fillRect/>
                    </a:stretch>
                  </pic:blipFill>
                  <pic:spPr>
                    <a:xfrm>
                      <a:off x="0" y="0"/>
                      <a:ext cx="2008505" cy="2251075"/>
                    </a:xfrm>
                    <a:prstGeom prst="rect">
                      <a:avLst/>
                    </a:prstGeom>
                    <a:noFill/>
                    <a:ln>
                      <a:noFill/>
                    </a:ln>
                  </pic:spPr>
                </pic:pic>
              </a:graphicData>
            </a:graphic>
          </wp:anchor>
        </w:drawing>
      </w:r>
      <w:r>
        <w:rPr>
          <w:rFonts w:hAnsi="宋体" w:cs="宋体"/>
          <w:b/>
          <w:bCs/>
          <w:sz w:val="28"/>
          <w:szCs w:val="28"/>
        </w:rPr>
        <w:drawing>
          <wp:anchor distT="0" distB="0" distL="114300" distR="114300" simplePos="0" relativeHeight="251663360" behindDoc="0" locked="0" layoutInCell="1" allowOverlap="1">
            <wp:simplePos x="0" y="0"/>
            <wp:positionH relativeFrom="column">
              <wp:posOffset>585470</wp:posOffset>
            </wp:positionH>
            <wp:positionV relativeFrom="paragraph">
              <wp:posOffset>120015</wp:posOffset>
            </wp:positionV>
            <wp:extent cx="2009140" cy="2297430"/>
            <wp:effectExtent l="0" t="0" r="10160" b="7620"/>
            <wp:wrapTopAndBottom/>
            <wp:docPr id="7" name="图片 8" descr="C:\Users\admin\AppData\Local\Temp\WeChat Files\3c07642b3893264525d8a7878b3cc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C:\Users\admin\AppData\Local\Temp\WeChat Files\3c07642b3893264525d8a7878b3cc9e.jpg"/>
                    <pic:cNvPicPr>
                      <a:picLocks noChangeAspect="1"/>
                    </pic:cNvPicPr>
                  </pic:nvPicPr>
                  <pic:blipFill>
                    <a:blip r:embed="rId6"/>
                    <a:stretch>
                      <a:fillRect/>
                    </a:stretch>
                  </pic:blipFill>
                  <pic:spPr>
                    <a:xfrm>
                      <a:off x="0" y="0"/>
                      <a:ext cx="2009140" cy="2297430"/>
                    </a:xfrm>
                    <a:prstGeom prst="rect">
                      <a:avLst/>
                    </a:prstGeom>
                    <a:noFill/>
                    <a:ln>
                      <a:noFill/>
                    </a:ln>
                  </pic:spPr>
                </pic:pic>
              </a:graphicData>
            </a:graphic>
          </wp:anchor>
        </w:drawing>
      </w:r>
    </w:p>
    <w:p>
      <w:pPr>
        <w:tabs>
          <w:tab w:val="left" w:pos="7797"/>
        </w:tabs>
        <w:ind w:firstLine="420" w:firstLineChars="200"/>
        <w:jc w:val="left"/>
        <w:rPr>
          <w:rFonts w:ascii="宋体" w:hAnsi="宋体"/>
          <w:color w:val="000000"/>
          <w:kern w:val="58"/>
          <w:sz w:val="21"/>
          <w:szCs w:val="20"/>
        </w:rPr>
      </w:pPr>
      <w:r>
        <w:rPr>
          <w:rFonts w:hint="eastAsia" w:ascii="宋体" w:hAnsi="宋体"/>
          <w:color w:val="000000"/>
          <w:kern w:val="58"/>
          <w:sz w:val="21"/>
          <w:szCs w:val="20"/>
        </w:rPr>
        <w:t>1.2 镟轮线钢轨回流改造项目的提出</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鉴于既有线路1号线、2号线、3号线车辆段镟轮线的线路现状，以及钢轨打火现象的影响，遂提出对既有线路车辆段的镟轮线进行钢轨回流改造，以达到杜绝钢轨打火，避免损伤电客车轮对、镟轮库钢轨及镟修设备的目的。</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二、项目范围</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2.1 改造项目技术方案</w:t>
      </w:r>
    </w:p>
    <w:p>
      <w:pPr>
        <w:pStyle w:val="2"/>
        <w:spacing w:line="360" w:lineRule="auto"/>
        <w:ind w:firstLine="560" w:firstLineChars="200"/>
        <w:rPr>
          <w:rFonts w:hint="eastAsia" w:hAnsi="宋体"/>
          <w:color w:val="000000"/>
          <w:kern w:val="58"/>
          <w:sz w:val="21"/>
        </w:rPr>
      </w:pPr>
      <w:r>
        <w:rPr>
          <w:rFonts w:hint="eastAsia" w:hAnsi="宋体" w:cs="宋体"/>
          <w:sz w:val="28"/>
          <w:szCs w:val="28"/>
        </w:rPr>
        <w:drawing>
          <wp:anchor distT="0" distB="0" distL="114300" distR="114300" simplePos="0" relativeHeight="251671552" behindDoc="0" locked="0" layoutInCell="1" allowOverlap="1">
            <wp:simplePos x="0" y="0"/>
            <wp:positionH relativeFrom="column">
              <wp:posOffset>112395</wp:posOffset>
            </wp:positionH>
            <wp:positionV relativeFrom="page">
              <wp:posOffset>2463165</wp:posOffset>
            </wp:positionV>
            <wp:extent cx="5434965" cy="979805"/>
            <wp:effectExtent l="0" t="0" r="13335" b="10795"/>
            <wp:wrapSquare wrapText="bothSides"/>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7"/>
                    <a:srcRect l="8998" t="32239" r="2293" b="15851"/>
                    <a:stretch>
                      <a:fillRect/>
                    </a:stretch>
                  </pic:blipFill>
                  <pic:spPr>
                    <a:xfrm>
                      <a:off x="0" y="0"/>
                      <a:ext cx="5434965" cy="979805"/>
                    </a:xfrm>
                    <a:prstGeom prst="rect">
                      <a:avLst/>
                    </a:prstGeom>
                    <a:noFill/>
                    <a:ln>
                      <a:noFill/>
                    </a:ln>
                  </pic:spPr>
                </pic:pic>
              </a:graphicData>
            </a:graphic>
          </wp:anchor>
        </w:drawing>
      </w:r>
      <w:r>
        <w:rPr>
          <w:rFonts w:hint="eastAsia" w:hAnsi="宋体"/>
          <w:color w:val="000000"/>
          <w:kern w:val="58"/>
          <w:sz w:val="21"/>
        </w:rPr>
        <w:t>对1号线、2号线及3号线车辆段镟轮线进行钢轨回流改造，在镟轮线库前远端新增设一处钢轨绝缘接头，并设置单向导通装置，在两处钢轨绝缘接头间形成一段足够停放整列电客车长度的隔离区，如下图所示。</w:t>
      </w:r>
    </w:p>
    <w:p>
      <w:pPr>
        <w:pStyle w:val="2"/>
        <w:spacing w:line="360" w:lineRule="auto"/>
        <w:rPr>
          <w:rFonts w:hint="eastAsia" w:hAnsi="宋体"/>
          <w:color w:val="000000"/>
          <w:kern w:val="58"/>
          <w:sz w:val="21"/>
        </w:rPr>
      </w:pPr>
    </w:p>
    <w:p>
      <w:pPr>
        <w:pStyle w:val="2"/>
        <w:spacing w:line="360" w:lineRule="auto"/>
        <w:rPr>
          <w:rFonts w:hint="eastAsia" w:hAnsi="宋体"/>
          <w:color w:val="000000"/>
          <w:kern w:val="58"/>
          <w:sz w:val="21"/>
        </w:rPr>
      </w:pPr>
    </w:p>
    <w:p>
      <w:pPr>
        <w:pStyle w:val="2"/>
        <w:spacing w:line="360" w:lineRule="auto"/>
        <w:rPr>
          <w:rFonts w:hint="eastAsia" w:hAnsi="宋体"/>
          <w:color w:val="000000"/>
          <w:kern w:val="58"/>
          <w:sz w:val="21"/>
        </w:rPr>
      </w:pP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实施改造后，当电客车驶入隔离区跨越远端钢轨绝缘接头过程中，单向导通装置保证了隔离区钢轨正常牵引回流。当电客车完全驶入隔离区内停车降弓后，再使用公铁两用车牵引电客车入库进行镟修作业。因为设置了远端钢轨绝缘接头及单向导通装置，隔离区远端钢轨绝缘接头以外线路的钢轨回流不会对库内镟修作业产生影响，可有效解决打火问题。</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2.2 改造项目技术要求</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2.2.1项目的设计、施工及验收应满足一下相关规范文件要求：</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GB/T 10411-2005《城市轨道交通直流牵引供电系统》</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GB3859.1-2013《半导体变流器基本要求规范》</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GB/T 10233-2005《低压成套开关设备和电控设备基本试验方法》</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GB/T24338-2009《轨道交通电磁兼容》</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IEC60947-3《低压开关设备和控制设备》</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IEC60255《电气继电器》</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IEC60529《外壳防护等级》</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GB/T 11022-2011《高压开关设备和控制设备标准的共用技术要求》</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2.2.2安装基础上的安装地脚螺栓，不能与基础结构钢筋相连。设备安装基础应保证平整，周围无积水。柜内接线应平整有序，螺栓连接可靠，保证线缆孔洞封堵完好。</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2.2.3 接地包括工作接地和安全接地，其采用相同的接地方法。采用截面积为16mm2的多股导线将柜体内接地端子与设备安装基础接地极相连。</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2.2.4 线缆应满足低烟无卤阻燃要求，敷设应保证安全可靠，敷设通道无积水，并对线缆做好防护，确保其安全可靠。</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2.2.5设备安装时应考虑后期维护、检修需求，前后柜门可完全打开，并留有操作及检修空间，便于拆卸、维修和更换。</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2.2.6所提供安装施工服务，工程所采用的安装材料、安装工艺必须符合施工标准和环保等规范要求。</w:t>
      </w:r>
    </w:p>
    <w:p>
      <w:pPr>
        <w:tabs>
          <w:tab w:val="left" w:pos="7797"/>
        </w:tabs>
        <w:ind w:firstLine="420" w:firstLineChars="200"/>
        <w:jc w:val="left"/>
        <w:rPr>
          <w:rFonts w:hint="eastAsia" w:ascii="宋体" w:hAnsi="宋体" w:cs="宋体"/>
          <w:sz w:val="21"/>
          <w:szCs w:val="21"/>
        </w:rPr>
      </w:pPr>
      <w:r>
        <w:rPr>
          <w:rFonts w:hint="eastAsia" w:ascii="宋体" w:hAnsi="宋体" w:cs="宋体"/>
          <w:sz w:val="21"/>
          <w:szCs w:val="21"/>
        </w:rPr>
        <w:t>2.3 改造项目实施范围</w:t>
      </w:r>
    </w:p>
    <w:p>
      <w:pPr>
        <w:tabs>
          <w:tab w:val="left" w:pos="7797"/>
        </w:tabs>
        <w:ind w:firstLine="420" w:firstLineChars="200"/>
        <w:jc w:val="left"/>
        <w:rPr>
          <w:rFonts w:hint="eastAsia" w:ascii="宋体" w:hAnsi="宋体" w:cs="宋体"/>
          <w:sz w:val="21"/>
          <w:szCs w:val="21"/>
        </w:rPr>
      </w:pPr>
      <w:r>
        <w:rPr>
          <w:rFonts w:hint="eastAsia" w:ascii="宋体" w:hAnsi="宋体" w:cs="宋体"/>
          <w:sz w:val="21"/>
          <w:szCs w:val="21"/>
        </w:rPr>
        <w:t>实施1号线、2号线及3号线车辆段镟轮线钢轨回流改造项目，考虑原1号线场段单向导通装置升级改造项目更换下来的单向导通装置以及供电维修中心库存的150截面直流电缆均可以直接作为甲供设备及材料使用改造项目中。项目实施涉及到的主要乙供材料及安装工程量为：P50型钢轨绝缘接头采购，单向导通装置基础开挖及浇筑，接地极制作及埋设，单向导通装置转运及安装，单向导通装置电缆接线安装，辅助电源线敷设等。</w:t>
      </w:r>
    </w:p>
    <w:p>
      <w:pPr>
        <w:tabs>
          <w:tab w:val="left" w:pos="7797"/>
        </w:tabs>
        <w:ind w:firstLine="420" w:firstLineChars="200"/>
        <w:jc w:val="left"/>
        <w:rPr>
          <w:rFonts w:hint="eastAsia" w:ascii="宋体" w:hAnsi="宋体" w:cs="宋体"/>
          <w:sz w:val="21"/>
          <w:szCs w:val="21"/>
        </w:rPr>
      </w:pPr>
      <w:r>
        <w:rPr>
          <w:rFonts w:hint="eastAsia" w:ascii="宋体" w:hAnsi="宋体" w:cs="宋体"/>
          <w:sz w:val="21"/>
          <w:szCs w:val="21"/>
        </w:rPr>
        <w:t>2.4改造项目工程量清单</w:t>
      </w:r>
    </w:p>
    <w:p>
      <w:pPr>
        <w:tabs>
          <w:tab w:val="left" w:pos="7797"/>
        </w:tabs>
        <w:ind w:firstLine="420" w:firstLineChars="200"/>
        <w:jc w:val="left"/>
        <w:rPr>
          <w:rFonts w:hint="eastAsia" w:ascii="宋体" w:hAnsi="宋体" w:cs="宋体"/>
          <w:sz w:val="21"/>
          <w:szCs w:val="21"/>
        </w:rPr>
      </w:pPr>
      <w:r>
        <w:rPr>
          <w:rFonts w:hint="eastAsia" w:ascii="宋体" w:hAnsi="宋体" w:cs="宋体"/>
          <w:sz w:val="21"/>
          <w:szCs w:val="21"/>
        </w:rPr>
        <w:t>项目的实施包含除甲</w:t>
      </w:r>
      <w:r>
        <w:rPr>
          <w:rFonts w:hint="eastAsia" w:ascii="宋体" w:hAnsi="宋体" w:cs="宋体"/>
          <w:sz w:val="21"/>
          <w:szCs w:val="21"/>
          <w:lang w:eastAsia="zh-CN"/>
        </w:rPr>
        <w:t>供</w:t>
      </w:r>
      <w:r>
        <w:rPr>
          <w:rFonts w:hint="eastAsia" w:ascii="宋体" w:hAnsi="宋体" w:cs="宋体"/>
          <w:sz w:val="21"/>
          <w:szCs w:val="21"/>
        </w:rPr>
        <w:t>外所有材料的采购，以及项目所有设备和材料的安装。主要工程量清单见下表：</w:t>
      </w:r>
    </w:p>
    <w:tbl>
      <w:tblPr>
        <w:tblStyle w:val="6"/>
        <w:tblW w:w="9549" w:type="dxa"/>
        <w:tblInd w:w="0" w:type="dxa"/>
        <w:tblLayout w:type="fixed"/>
        <w:tblCellMar>
          <w:top w:w="0" w:type="dxa"/>
          <w:left w:w="0" w:type="dxa"/>
          <w:bottom w:w="0" w:type="dxa"/>
          <w:right w:w="0" w:type="dxa"/>
        </w:tblCellMar>
      </w:tblPr>
      <w:tblGrid>
        <w:gridCol w:w="527"/>
        <w:gridCol w:w="2032"/>
        <w:gridCol w:w="4650"/>
        <w:gridCol w:w="1020"/>
        <w:gridCol w:w="1320"/>
      </w:tblGrid>
      <w:tr>
        <w:tblPrEx>
          <w:tblLayout w:type="fixed"/>
          <w:tblCellMar>
            <w:top w:w="0" w:type="dxa"/>
            <w:left w:w="0" w:type="dxa"/>
            <w:bottom w:w="0" w:type="dxa"/>
            <w:right w:w="0" w:type="dxa"/>
          </w:tblCellMar>
        </w:tblPrEx>
        <w:trPr>
          <w:trHeight w:val="468" w:hRule="atLeast"/>
        </w:trPr>
        <w:tc>
          <w:tcPr>
            <w:tcW w:w="52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清单</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序号</w:t>
            </w:r>
          </w:p>
        </w:tc>
        <w:tc>
          <w:tcPr>
            <w:tcW w:w="20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项目名称</w:t>
            </w:r>
          </w:p>
        </w:tc>
        <w:tc>
          <w:tcPr>
            <w:tcW w:w="465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ind w:firstLine="1800" w:firstLineChars="1000"/>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项目特征</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计量</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单位</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w:t>
            </w:r>
          </w:p>
        </w:tc>
      </w:tr>
      <w:tr>
        <w:tblPrEx>
          <w:tblLayout w:type="fixed"/>
          <w:tblCellMar>
            <w:top w:w="0" w:type="dxa"/>
            <w:left w:w="0" w:type="dxa"/>
            <w:bottom w:w="0" w:type="dxa"/>
            <w:right w:w="0" w:type="dxa"/>
          </w:tblCellMar>
        </w:tblPrEx>
        <w:trPr>
          <w:trHeight w:val="312"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c>
          <w:tcPr>
            <w:tcW w:w="20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c>
          <w:tcPr>
            <w:tcW w:w="465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 xml:space="preserve">钢轨绝缘接头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1、型号规格：适用P50轨</w:t>
            </w:r>
          </w:p>
          <w:p>
            <w:pPr>
              <w:widowControl/>
              <w:jc w:val="left"/>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2、详见设计图纸及用户需求书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套</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bidi="ar"/>
              </w:rPr>
              <w:t>12</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150mm2直流电缆接线端子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1、型号规格：FSYZ-WDZA-EPR-DC1.8kV-1X150接线端子</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2、含焊接焊药、钢轨焊后探伤、处理等</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3、详见设计图纸及用户需求书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24</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电缆敷设</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1、型号规格：FSYZ-WDZA-EPR-DC1.8kV-1X150</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2、电缆甲供</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3、含焊接焊药等安装附件</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4、详见设计图纸及用户需求书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bidi="ar"/>
              </w:rPr>
              <w:t>120</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橡胶软管</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1、型号规格：Φ49</w:t>
            </w:r>
          </w:p>
          <w:p>
            <w:pPr>
              <w:widowControl/>
              <w:jc w:val="left"/>
              <w:textAlignment w:val="center"/>
            </w:pPr>
            <w:r>
              <w:rPr>
                <w:rFonts w:hint="eastAsia" w:ascii="宋体" w:hAnsi="宋体" w:cs="宋体"/>
                <w:color w:val="000000"/>
                <w:kern w:val="0"/>
                <w:sz w:val="18"/>
                <w:szCs w:val="18"/>
                <w:lang w:bidi="ar"/>
              </w:rPr>
              <w:t>2、详见设计图纸及用户需求书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bidi="ar"/>
              </w:rPr>
              <w:t>120</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电缆敷设</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1、型号规格：WDZA-YJV23-1kV-3X4</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2、含电缆头、焊接焊药等安装附件</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3、详见设计图纸及用户需求书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bidi="ar"/>
              </w:rPr>
              <w:t>600</w:t>
            </w:r>
          </w:p>
        </w:tc>
      </w:tr>
      <w:tr>
        <w:tblPrEx>
          <w:tblLayout w:type="fixed"/>
          <w:tblCellMar>
            <w:top w:w="0" w:type="dxa"/>
            <w:left w:w="0" w:type="dxa"/>
            <w:bottom w:w="0" w:type="dxa"/>
            <w:right w:w="0" w:type="dxa"/>
          </w:tblCellMar>
        </w:tblPrEx>
        <w:trPr>
          <w:trHeight w:val="702"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橡胶软管</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1、型号规格：Φ32</w:t>
            </w:r>
          </w:p>
          <w:p>
            <w:pPr>
              <w:widowControl/>
              <w:jc w:val="left"/>
              <w:textAlignment w:val="center"/>
              <w:rPr>
                <w:rFonts w:hAnsi="宋体" w:cs="宋体"/>
                <w:color w:val="000000"/>
                <w:sz w:val="18"/>
                <w:szCs w:val="18"/>
                <w:lang w:bidi="ar"/>
              </w:rPr>
            </w:pPr>
            <w:r>
              <w:rPr>
                <w:rFonts w:hint="eastAsia" w:ascii="宋体" w:hAnsi="宋体" w:cs="宋体"/>
                <w:color w:val="000000"/>
                <w:kern w:val="0"/>
                <w:sz w:val="18"/>
                <w:szCs w:val="18"/>
                <w:lang w:bidi="ar"/>
              </w:rPr>
              <w:t>2、详见设计图纸及用户需求书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镀锌钢管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1、型号规格：Φ32</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2、含相关接头附件</w:t>
            </w:r>
          </w:p>
          <w:p>
            <w:pPr>
              <w:widowControl/>
              <w:jc w:val="left"/>
              <w:textAlignment w:val="center"/>
              <w:rPr>
                <w:rFonts w:hint="eastAsia"/>
              </w:rPr>
            </w:pPr>
            <w:r>
              <w:rPr>
                <w:rFonts w:hint="eastAsia" w:ascii="宋体" w:hAnsi="宋体" w:cs="宋体"/>
                <w:color w:val="000000"/>
                <w:kern w:val="0"/>
                <w:sz w:val="18"/>
                <w:szCs w:val="18"/>
                <w:lang w:bidi="ar"/>
              </w:rPr>
              <w:t>3、详见设计图纸及用户需求书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bidi="ar"/>
              </w:rPr>
              <w:t>500</w:t>
            </w:r>
          </w:p>
        </w:tc>
      </w:tr>
      <w:tr>
        <w:tblPrEx>
          <w:tblLayout w:type="fixed"/>
          <w:tblCellMar>
            <w:top w:w="0" w:type="dxa"/>
            <w:left w:w="0" w:type="dxa"/>
            <w:bottom w:w="0" w:type="dxa"/>
            <w:right w:w="0" w:type="dxa"/>
          </w:tblCellMar>
        </w:tblPrEx>
        <w:trPr>
          <w:trHeight w:val="702"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单向导通装置基础</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1、含开挖、回填、混凝土浇筑</w:t>
            </w:r>
          </w:p>
          <w:p>
            <w:pPr>
              <w:widowControl/>
              <w:jc w:val="left"/>
              <w:textAlignment w:val="center"/>
              <w:rPr>
                <w:rFonts w:hAnsi="宋体" w:cs="宋体"/>
                <w:color w:val="000000"/>
                <w:sz w:val="18"/>
                <w:szCs w:val="18"/>
                <w:lang w:bidi="ar"/>
              </w:rPr>
            </w:pPr>
            <w:r>
              <w:rPr>
                <w:rFonts w:hint="eastAsia" w:ascii="宋体" w:hAnsi="宋体" w:cs="宋体"/>
                <w:color w:val="000000"/>
                <w:kern w:val="0"/>
                <w:sz w:val="18"/>
                <w:szCs w:val="18"/>
                <w:lang w:bidi="ar"/>
              </w:rPr>
              <w:t>2、详见设计图纸及用户需求书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处</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r>
      <w:tr>
        <w:tblPrEx>
          <w:tblLayout w:type="fixed"/>
          <w:tblCellMar>
            <w:top w:w="0" w:type="dxa"/>
            <w:left w:w="0" w:type="dxa"/>
            <w:bottom w:w="0" w:type="dxa"/>
            <w:right w:w="0" w:type="dxa"/>
          </w:tblCellMar>
        </w:tblPrEx>
        <w:trPr>
          <w:trHeight w:val="702"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9</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单向导通装置跨场段转运</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1、含设备倒运、吊装(三个场段)</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台</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单向导通装置固定安装</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1、单向导通装置甲供</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2、固定安装、电缆接线、调试</w:t>
            </w:r>
          </w:p>
          <w:p>
            <w:pPr>
              <w:widowControl/>
              <w:jc w:val="left"/>
              <w:textAlignment w:val="center"/>
              <w:rPr>
                <w:rFonts w:hAnsi="宋体" w:cs="宋体"/>
                <w:color w:val="000000"/>
                <w:sz w:val="18"/>
                <w:szCs w:val="18"/>
                <w:lang w:bidi="ar"/>
              </w:rPr>
            </w:pPr>
            <w:r>
              <w:rPr>
                <w:rFonts w:hint="eastAsia" w:ascii="宋体" w:hAnsi="宋体" w:cs="宋体"/>
                <w:color w:val="000000"/>
                <w:kern w:val="0"/>
                <w:sz w:val="18"/>
                <w:szCs w:val="18"/>
                <w:lang w:bidi="ar"/>
              </w:rPr>
              <w:t>3、详见设计图纸及用户需求书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11</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接地极</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1、型号规格：详见设计图纸</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处</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12</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10#槽钢</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1、型号规格：二级热浸镀锌</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m</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7.8</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13</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-50x5扁钢</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1、型号规格：二级热浸镀锌</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m</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7.8</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14</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玻璃钢夹砂管</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1、型号规格：满足敷设要求</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2、详见设计图纸及用户需求书</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m</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20</w:t>
            </w:r>
          </w:p>
        </w:tc>
      </w:tr>
    </w:tbl>
    <w:p>
      <w:pPr>
        <w:pStyle w:val="2"/>
        <w:rPr>
          <w:rFonts w:hint="eastAsia"/>
        </w:rPr>
      </w:pP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三、项目实施</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3.1项目实施进度计划</w:t>
      </w:r>
    </w:p>
    <w:tbl>
      <w:tblPr>
        <w:tblStyle w:val="6"/>
        <w:tblpPr w:leftFromText="180" w:rightFromText="180" w:vertAnchor="text" w:horzAnchor="page" w:tblpX="1630" w:tblpY="112"/>
        <w:tblOverlap w:val="never"/>
        <w:tblW w:w="8655" w:type="dxa"/>
        <w:tblInd w:w="0" w:type="dxa"/>
        <w:tblLayout w:type="fixed"/>
        <w:tblCellMar>
          <w:top w:w="0" w:type="dxa"/>
          <w:left w:w="108" w:type="dxa"/>
          <w:bottom w:w="0" w:type="dxa"/>
          <w:right w:w="108" w:type="dxa"/>
        </w:tblCellMar>
      </w:tblPr>
      <w:tblGrid>
        <w:gridCol w:w="1488"/>
        <w:gridCol w:w="2817"/>
        <w:gridCol w:w="4350"/>
      </w:tblGrid>
      <w:tr>
        <w:tblPrEx>
          <w:tblLayout w:type="fixed"/>
          <w:tblCellMar>
            <w:top w:w="0" w:type="dxa"/>
            <w:left w:w="108" w:type="dxa"/>
            <w:bottom w:w="0" w:type="dxa"/>
            <w:right w:w="108" w:type="dxa"/>
          </w:tblCellMar>
        </w:tblPrEx>
        <w:trPr>
          <w:trHeight w:val="694" w:hRule="atLeast"/>
        </w:trPr>
        <w:tc>
          <w:tcPr>
            <w:tcW w:w="148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序号</w:t>
            </w:r>
          </w:p>
        </w:tc>
        <w:tc>
          <w:tcPr>
            <w:tcW w:w="2817"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日期</w:t>
            </w:r>
          </w:p>
        </w:tc>
        <w:tc>
          <w:tcPr>
            <w:tcW w:w="4350"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项目进度</w:t>
            </w:r>
          </w:p>
        </w:tc>
      </w:tr>
      <w:tr>
        <w:tblPrEx>
          <w:tblLayout w:type="fixed"/>
          <w:tblCellMar>
            <w:top w:w="0" w:type="dxa"/>
            <w:left w:w="108" w:type="dxa"/>
            <w:bottom w:w="0" w:type="dxa"/>
            <w:right w:w="108" w:type="dxa"/>
          </w:tblCellMar>
        </w:tblPrEx>
        <w:trPr>
          <w:trHeight w:val="669" w:hRule="atLeast"/>
        </w:trPr>
        <w:tc>
          <w:tcPr>
            <w:tcW w:w="1488"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1</w:t>
            </w:r>
          </w:p>
        </w:tc>
        <w:tc>
          <w:tcPr>
            <w:tcW w:w="2817"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2020年11月01日</w:t>
            </w:r>
          </w:p>
        </w:tc>
        <w:tc>
          <w:tcPr>
            <w:tcW w:w="4350"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完成合同签订</w:t>
            </w:r>
          </w:p>
        </w:tc>
      </w:tr>
      <w:tr>
        <w:tblPrEx>
          <w:tblLayout w:type="fixed"/>
          <w:tblCellMar>
            <w:top w:w="0" w:type="dxa"/>
            <w:left w:w="108" w:type="dxa"/>
            <w:bottom w:w="0" w:type="dxa"/>
            <w:right w:w="108" w:type="dxa"/>
          </w:tblCellMar>
        </w:tblPrEx>
        <w:trPr>
          <w:trHeight w:val="806" w:hRule="atLeast"/>
        </w:trPr>
        <w:tc>
          <w:tcPr>
            <w:tcW w:w="1488"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2</w:t>
            </w:r>
          </w:p>
        </w:tc>
        <w:tc>
          <w:tcPr>
            <w:tcW w:w="2817"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2020年11月01日-</w:t>
            </w:r>
          </w:p>
          <w:p>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2021年1月31日</w:t>
            </w:r>
          </w:p>
        </w:tc>
        <w:tc>
          <w:tcPr>
            <w:tcW w:w="4350"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完成施工安装及调试</w:t>
            </w:r>
          </w:p>
        </w:tc>
      </w:tr>
    </w:tbl>
    <w:p>
      <w:pPr>
        <w:pStyle w:val="2"/>
        <w:spacing w:line="360" w:lineRule="auto"/>
        <w:ind w:firstLine="420" w:firstLineChars="200"/>
        <w:rPr>
          <w:rFonts w:hint="eastAsia" w:hAnsi="宋体"/>
          <w:color w:val="000000"/>
          <w:kern w:val="58"/>
          <w:sz w:val="21"/>
        </w:rPr>
      </w:pPr>
      <w:r>
        <w:rPr>
          <w:rFonts w:hint="eastAsia" w:hAnsi="宋体"/>
          <w:color w:val="000000"/>
          <w:kern w:val="58"/>
          <w:sz w:val="21"/>
        </w:rPr>
        <w:t>3.2项目施工特点及要求</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3.2.1既有线路车辆段施工期间，须严格遵守宁波轨道交通运营分公司相关施工管理规定，规范施工作业请销点手续，严控施工现场作业安全。</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3.2.2施工期间不得破坏非施工区域设施设备，施工中须接受运营分公司归口单位及相关业务部门的管理和监督。</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3.2.3施工现场规范堆放原材料及料具，不得侵限影响行车；加强场容管理，使现场做到整齐、干净、安全、施工秩序良好。</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3.2.4注意安全用电，不得乱拉乱挂，自觉遵守安全用电制度和持证上岗制，防止用电事故发生。</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3.2.5施工前须由负责人向施工人员进行技术交底和安全交底，未经教育者不得进入施工现场作业，进入施工场地着装统一整齐，穿戴劳动防护用品，防止造成人身伤害。</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3.2.6保证进入施工现场的吊装设备满足施工所需且状态良好；单向导通装置的吊装固定应提报接触网停电作业计划进行。</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3.2.7按验收程序收货后分类分批堆放管理，做好标记。对检查验收不合格的原材料、成品和半成品，要马上清除出场，不得使用。</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四、质量保证</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4.1质量要求</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1）严格按照ISO9000质量体系的规定，制定相应的项目质量控制标准，以及制定工程各个阶段的切实可行的质量控制措施。</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2）保证主要部件的材质、规格与需求相符，在任何时候，如发现材质、规格等不符合要求，</w:t>
      </w:r>
      <w:r>
        <w:rPr>
          <w:rFonts w:hint="eastAsia" w:hAnsi="宋体"/>
          <w:color w:val="000000"/>
          <w:kern w:val="58"/>
          <w:sz w:val="21"/>
          <w:lang w:eastAsia="zh-CN"/>
        </w:rPr>
        <w:t>成交人</w:t>
      </w:r>
      <w:r>
        <w:rPr>
          <w:rFonts w:hint="eastAsia" w:hAnsi="宋体"/>
          <w:color w:val="000000"/>
          <w:kern w:val="58"/>
          <w:sz w:val="21"/>
        </w:rPr>
        <w:t>应无偿更换。</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4.2验收标准</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严格按技术要求进行施工，否则</w:t>
      </w:r>
      <w:r>
        <w:rPr>
          <w:rFonts w:hint="eastAsia" w:hAnsi="宋体"/>
          <w:color w:val="000000"/>
          <w:kern w:val="58"/>
          <w:sz w:val="21"/>
          <w:highlight w:val="none"/>
        </w:rPr>
        <w:t>成交人应予以返</w:t>
      </w:r>
      <w:r>
        <w:rPr>
          <w:rFonts w:hint="eastAsia" w:hAnsi="宋体"/>
          <w:color w:val="000000"/>
          <w:kern w:val="58"/>
          <w:sz w:val="21"/>
        </w:rPr>
        <w:t>工，直至最终通过验收为止。</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工程完工后由运营分公司归口管理部门组织进行验收，按照相关验收标准执行。</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4.3质保期</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4.3.1质保期自验收完成之日起计算，质保期为一年。</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4.3.2质保期内</w:t>
      </w:r>
      <w:r>
        <w:rPr>
          <w:rFonts w:hint="eastAsia" w:hAnsi="宋体"/>
          <w:color w:val="000000"/>
          <w:kern w:val="58"/>
          <w:sz w:val="21"/>
          <w:lang w:eastAsia="zh-CN"/>
        </w:rPr>
        <w:t>成交人</w:t>
      </w:r>
      <w:r>
        <w:rPr>
          <w:rFonts w:hint="eastAsia" w:hAnsi="宋体"/>
          <w:color w:val="000000"/>
          <w:kern w:val="58"/>
          <w:sz w:val="21"/>
        </w:rPr>
        <w:t>的质保责任：</w:t>
      </w:r>
    </w:p>
    <w:p>
      <w:pPr>
        <w:pStyle w:val="2"/>
        <w:spacing w:line="360" w:lineRule="auto"/>
        <w:ind w:firstLine="420" w:firstLineChars="200"/>
      </w:pPr>
      <w:r>
        <w:rPr>
          <w:rFonts w:hint="eastAsia" w:hAnsi="宋体"/>
          <w:color w:val="000000"/>
          <w:kern w:val="58"/>
          <w:sz w:val="21"/>
        </w:rPr>
        <w:t>在上述规定的质保期内，因本身质量问题所出现的故障、缺陷等问题，</w:t>
      </w:r>
      <w:r>
        <w:rPr>
          <w:rFonts w:hint="eastAsia" w:hAnsi="宋体"/>
          <w:color w:val="000000"/>
          <w:kern w:val="58"/>
          <w:sz w:val="21"/>
          <w:lang w:eastAsia="zh-CN"/>
        </w:rPr>
        <w:t>成交人</w:t>
      </w:r>
      <w:r>
        <w:rPr>
          <w:rFonts w:hint="eastAsia" w:hAnsi="宋体"/>
          <w:color w:val="000000"/>
          <w:kern w:val="58"/>
          <w:sz w:val="21"/>
        </w:rPr>
        <w:t>应承担一切责任，并根据故障情况进行维修。维修后应重新计算质保期，所发生的一切费用由</w:t>
      </w:r>
      <w:r>
        <w:rPr>
          <w:rFonts w:hint="eastAsia" w:hAnsi="宋体"/>
          <w:color w:val="000000"/>
          <w:kern w:val="58"/>
          <w:sz w:val="21"/>
          <w:lang w:eastAsia="zh-CN"/>
        </w:rPr>
        <w:t>成交人</w:t>
      </w:r>
      <w:r>
        <w:rPr>
          <w:rFonts w:hint="eastAsia" w:hAnsi="宋体"/>
          <w:color w:val="000000"/>
          <w:kern w:val="58"/>
          <w:sz w:val="21"/>
        </w:rPr>
        <w:t>承担。</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DB5670"/>
    <w:rsid w:val="33C54C16"/>
    <w:rsid w:val="7EDB5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4"/>
    <w:next w:val="1"/>
    <w:qFormat/>
    <w:uiPriority w:val="0"/>
    <w:pPr>
      <w:keepNext/>
      <w:keepLines/>
      <w:widowControl/>
      <w:spacing w:before="340" w:after="330" w:line="578" w:lineRule="atLeast"/>
      <w:jc w:val="left"/>
      <w:outlineLvl w:val="0"/>
    </w:pPr>
    <w:rPr>
      <w:kern w:val="44"/>
      <w:sz w:val="44"/>
      <w:szCs w:val="44"/>
    </w:rPr>
  </w:style>
  <w:style w:type="paragraph" w:styleId="4">
    <w:name w:val="heading 2"/>
    <w:basedOn w:val="1"/>
    <w:next w:val="1"/>
    <w:qFormat/>
    <w:uiPriority w:val="0"/>
    <w:pPr>
      <w:keepNext/>
      <w:keepLines/>
      <w:widowControl/>
      <w:spacing w:before="260" w:after="260" w:line="416" w:lineRule="atLeast"/>
      <w:jc w:val="left"/>
      <w:outlineLvl w:val="1"/>
    </w:pPr>
    <w:rPr>
      <w:rFonts w:ascii="Arial" w:hAnsi="Arial" w:eastAsia="黑体"/>
      <w:b/>
      <w:bCs/>
      <w:sz w:val="32"/>
      <w:szCs w:val="32"/>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Plain Text"/>
    <w:basedOn w:val="1"/>
    <w:qFormat/>
    <w:uiPriority w:val="0"/>
    <w:pPr>
      <w:spacing w:line="240" w:lineRule="auto"/>
    </w:pPr>
    <w:rPr>
      <w:rFonts w:ascii="宋体" w:hAnsi="Courier New"/>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2020-07-10T07:49:00Z</dcterms:created>
  <dc:creator>李赢</dc:creator>
  <cp:lastModifiedBy>李赢</cp:lastModifiedBy>
  <dcterms:modified xsi:type="dcterms:W3CDTF">2020-09-29T02:33:28Z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