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numPr>
          <w:numId w:val="0"/>
        </w:numPr>
        <w:spacing w:before="0" w:after="120"/>
        <w:jc w:val="center"/>
        <w:rPr>
          <w:rFonts w:hint="eastAsia"/>
          <w:sz w:val="32"/>
          <w:szCs w:val="32"/>
        </w:rPr>
      </w:pPr>
      <w:bookmarkStart w:id="0" w:name="_Toc16617"/>
      <w:bookmarkStart w:id="10" w:name="_GoBack"/>
      <w:r>
        <w:rPr>
          <w:rFonts w:hint="eastAsia"/>
          <w:sz w:val="32"/>
          <w:szCs w:val="32"/>
        </w:rPr>
        <w:t>用户需求书</w:t>
      </w:r>
      <w:bookmarkEnd w:id="0"/>
    </w:p>
    <w:bookmarkEnd w:id="10"/>
    <w:p>
      <w:pPr>
        <w:rPr>
          <w:rFonts w:hint="eastAsia"/>
          <w:b/>
        </w:rPr>
      </w:pPr>
      <w:r>
        <w:rPr>
          <w:rFonts w:hint="eastAsia"/>
          <w:b/>
          <w:lang w:val="en-US" w:eastAsia="zh-CN"/>
        </w:rPr>
        <w:t>1.</w:t>
      </w:r>
      <w:r>
        <w:rPr>
          <w:rFonts w:hint="eastAsia"/>
          <w:b/>
        </w:rPr>
        <w:t>项目范围</w:t>
      </w:r>
    </w:p>
    <w:p>
      <w:pPr>
        <w:ind w:firstLine="420" w:firstLineChars="200"/>
        <w:rPr>
          <w:rFonts w:hint="eastAsia" w:ascii="宋体" w:hAnsi="宋体"/>
          <w:color w:val="000000"/>
          <w:kern w:val="58"/>
          <w:sz w:val="21"/>
          <w:szCs w:val="20"/>
        </w:rPr>
      </w:pPr>
      <w:r>
        <w:rPr>
          <w:rFonts w:hint="eastAsia" w:ascii="宋体" w:hAnsi="宋体"/>
          <w:color w:val="000000"/>
          <w:kern w:val="58"/>
          <w:sz w:val="21"/>
          <w:szCs w:val="20"/>
        </w:rPr>
        <w:t>1.1海晏北路站F、G号出入口机电安装</w:t>
      </w:r>
    </w:p>
    <w:p>
      <w:pPr>
        <w:ind w:firstLine="420" w:firstLineChars="200"/>
        <w:rPr>
          <w:rFonts w:hint="eastAsia" w:ascii="宋体" w:hAnsi="宋体"/>
          <w:color w:val="000000"/>
          <w:kern w:val="58"/>
          <w:sz w:val="21"/>
          <w:szCs w:val="20"/>
        </w:rPr>
      </w:pPr>
      <w:r>
        <w:rPr>
          <w:rFonts w:hint="eastAsia" w:ascii="宋体" w:hAnsi="宋体"/>
          <w:color w:val="000000"/>
          <w:kern w:val="58"/>
          <w:sz w:val="21"/>
          <w:szCs w:val="20"/>
        </w:rPr>
        <w:t>（1）站内防盗卷帘与临时封堵之间区域的机电设备系统全专业设计及站内的防盗卷帘配电。设备系统均接入地铁原有系统</w:t>
      </w:r>
      <w:r>
        <w:rPr>
          <w:rFonts w:hint="eastAsia" w:ascii="宋体" w:hAnsi="宋体"/>
          <w:color w:val="000000"/>
          <w:kern w:val="58"/>
          <w:sz w:val="21"/>
          <w:szCs w:val="20"/>
          <w:lang w:eastAsia="zh-CN"/>
        </w:rPr>
        <w:t>。</w:t>
      </w:r>
    </w:p>
    <w:p>
      <w:pPr>
        <w:ind w:firstLine="420" w:firstLineChars="200"/>
        <w:rPr>
          <w:rFonts w:hint="default" w:ascii="宋体" w:hAnsi="宋体" w:eastAsia="宋体"/>
          <w:color w:val="000000"/>
          <w:kern w:val="58"/>
          <w:sz w:val="21"/>
          <w:szCs w:val="20"/>
          <w:highlight w:val="none"/>
          <w:lang w:val="en-US" w:eastAsia="zh-CN"/>
        </w:rPr>
      </w:pPr>
      <w:r>
        <w:rPr>
          <w:rFonts w:hint="eastAsia" w:ascii="宋体" w:hAnsi="宋体"/>
          <w:color w:val="000000"/>
          <w:kern w:val="58"/>
          <w:sz w:val="21"/>
          <w:szCs w:val="20"/>
        </w:rPr>
        <w:t>（2）防盗卷帘与地面处防盗卷帘之间的区域，范围仅包含与消防有关的系统</w:t>
      </w:r>
      <w:r>
        <w:rPr>
          <w:rFonts w:hint="eastAsia" w:ascii="宋体" w:hAnsi="宋体"/>
          <w:color w:val="000000"/>
          <w:kern w:val="58"/>
          <w:sz w:val="21"/>
          <w:szCs w:val="20"/>
          <w:highlight w:val="none"/>
          <w:lang w:val="en-US" w:eastAsia="zh-CN"/>
        </w:rPr>
        <w:t>和公安视频监控及无线天线系统。</w:t>
      </w:r>
    </w:p>
    <w:p>
      <w:pPr>
        <w:ind w:firstLine="420" w:firstLineChars="200"/>
        <w:rPr>
          <w:rFonts w:hint="eastAsia" w:ascii="宋体" w:hAnsi="宋体"/>
          <w:color w:val="000000"/>
          <w:kern w:val="58"/>
          <w:sz w:val="21"/>
          <w:szCs w:val="20"/>
        </w:rPr>
      </w:pPr>
      <w:r>
        <w:rPr>
          <w:rFonts w:hint="eastAsia" w:ascii="宋体" w:hAnsi="宋体"/>
          <w:color w:val="000000"/>
          <w:kern w:val="58"/>
          <w:sz w:val="21"/>
          <w:szCs w:val="20"/>
        </w:rPr>
        <w:t>1.2 海晏北路站站厅公共区导向、疏散指示、盲道、卫生间隔断改造。</w:t>
      </w:r>
    </w:p>
    <w:p>
      <w:pPr>
        <w:rPr>
          <w:rFonts w:hint="eastAsia"/>
          <w:b/>
        </w:rPr>
      </w:pPr>
      <w:r>
        <w:rPr>
          <w:rFonts w:hint="eastAsia"/>
          <w:b/>
          <w:lang w:val="en-US" w:eastAsia="zh-CN"/>
        </w:rPr>
        <w:t>2.</w:t>
      </w:r>
      <w:r>
        <w:rPr>
          <w:rFonts w:hint="eastAsia"/>
          <w:b/>
        </w:rPr>
        <w:t>项目技术要求</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总体要求：需与既有平台兼容，实现全功能接入。新增的点位需体现在原有相应的界面上。</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2.1.</w:t>
      </w:r>
      <w:bookmarkStart w:id="1" w:name="3.4.1.低压配电及动力照明技术要求"/>
      <w:bookmarkEnd w:id="1"/>
      <w:r>
        <w:rPr>
          <w:rFonts w:hint="eastAsia" w:hAnsi="宋体"/>
          <w:color w:val="000000"/>
          <w:kern w:val="58"/>
          <w:sz w:val="21"/>
        </w:rPr>
        <w:t>低压配电及动力照明技术要求</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2.1.1.低压配电技术标准及规范</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《低压配电设计规范》                      GB50054-2011</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《建筑设计防火规范》（2018版）            GB50016-2014</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《城市轨道交通照明》                      GB/T 16275-2008</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《民用建筑电气设计规范》                  GB51348-2019</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《地铁设计规范》                          GB 50157-2013</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《消防应急照明和疏散指示系统》            GB 17945-2010</w:t>
      </w:r>
    </w:p>
    <w:p>
      <w:pPr>
        <w:pStyle w:val="5"/>
        <w:spacing w:line="360" w:lineRule="auto"/>
        <w:ind w:firstLine="420" w:firstLineChars="200"/>
        <w:rPr>
          <w:rFonts w:hint="eastAsia" w:hAnsi="宋体" w:eastAsia="宋体"/>
          <w:color w:val="000000"/>
          <w:kern w:val="58"/>
          <w:sz w:val="21"/>
          <w:lang w:eastAsia="zh-CN"/>
        </w:rPr>
      </w:pPr>
      <w:r>
        <w:rPr>
          <w:rFonts w:hint="eastAsia" w:hAnsi="宋体"/>
          <w:color w:val="000000"/>
          <w:kern w:val="58"/>
          <w:sz w:val="21"/>
          <w:lang w:eastAsia="zh-CN"/>
        </w:rPr>
        <w:t>比选申请人</w:t>
      </w:r>
      <w:r>
        <w:rPr>
          <w:rFonts w:hint="eastAsia" w:hAnsi="宋体"/>
          <w:color w:val="000000"/>
          <w:kern w:val="58"/>
          <w:sz w:val="21"/>
        </w:rPr>
        <w:t>应遵照以上（但不限于）规范，上述技术标准版本如有更新，应遵照新版本执行。 施工细节请参见"国家建筑电气标准图集"</w:t>
      </w:r>
      <w:r>
        <w:rPr>
          <w:rFonts w:hint="eastAsia" w:hAnsi="宋体"/>
          <w:color w:val="000000"/>
          <w:kern w:val="58"/>
          <w:sz w:val="21"/>
          <w:lang w:eastAsia="zh-CN"/>
        </w:rPr>
        <w:t>。</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2.1.2.运输、装卸和存储</w:t>
      </w:r>
    </w:p>
    <w:p>
      <w:pPr>
        <w:pStyle w:val="5"/>
        <w:spacing w:line="360" w:lineRule="auto"/>
        <w:ind w:firstLine="420" w:firstLineChars="200"/>
        <w:rPr>
          <w:rFonts w:hint="eastAsia" w:hAnsi="宋体"/>
          <w:color w:val="000000"/>
          <w:kern w:val="58"/>
          <w:sz w:val="21"/>
        </w:rPr>
      </w:pPr>
      <w:r>
        <w:rPr>
          <w:rFonts w:hint="eastAsia" w:hAnsi="宋体"/>
          <w:color w:val="000000"/>
          <w:kern w:val="58"/>
          <w:sz w:val="21"/>
          <w:lang w:eastAsia="zh-CN"/>
        </w:rPr>
        <w:t>1)设备在装卸过程中应严格按照国家有关装卸规程进行操作。</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2)在运输装卸过程中不应使电缆及电缆盘受到损伤，严禁将电缆盘直接从车上推下，电缆盘不应平放。</w:t>
      </w:r>
    </w:p>
    <w:p>
      <w:pPr>
        <w:pStyle w:val="5"/>
        <w:spacing w:line="360" w:lineRule="auto"/>
        <w:ind w:firstLine="420" w:firstLineChars="200"/>
        <w:rPr>
          <w:rFonts w:hint="eastAsia" w:hAnsi="宋体"/>
          <w:color w:val="000000"/>
          <w:kern w:val="58"/>
          <w:sz w:val="21"/>
        </w:rPr>
      </w:pPr>
      <w:r>
        <w:rPr>
          <w:rFonts w:hint="eastAsia" w:hAnsi="宋体"/>
          <w:color w:val="000000"/>
          <w:kern w:val="58"/>
          <w:sz w:val="21"/>
          <w:lang w:eastAsia="zh-CN"/>
        </w:rPr>
        <w:t>3)电缆盘滚动时必须按照电缆盘上的箭头指示或电缆的缠紧方向。</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4)电缆存储时应集中分类存放，并标明电缆型号、电压等级、规格、长度等，电缆盘之间应有通道，电缆存放处不得有积水。</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2.1.3.电缆敷设</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电缆线路敷设执行《电气装置安装工程电缆线路施工及验收规范》(GB50168-2018),电缆的规格型号、电缆支架的安装和电缆敷设应符合设计文件的规定。电缆在支架和桥架上敷设时必须排列整齐。</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2.1.4.接地</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接地电缆、接地线、接地扁钢不应用作其他用途。</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接地线及其连接应保证牢固、可靠、安全、接触良好。</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电缆桥架、吊架和支架应按照设计和国家现行有关标准要求进行接地。</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2.1.5.封堵</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1)电缆敷设完毕后对电缆路径上的所有沟、槽、管、洞进行封堵。对于与其它专业共用 的电缆路径，待所有专业电缆敷设完毕后，由本本工程比选申请人进行封堵。</w:t>
      </w:r>
    </w:p>
    <w:p>
      <w:pPr>
        <w:pStyle w:val="5"/>
        <w:spacing w:line="360" w:lineRule="auto"/>
        <w:ind w:firstLine="420" w:firstLineChars="200"/>
        <w:rPr>
          <w:rFonts w:hint="eastAsia" w:hAnsi="宋体"/>
          <w:color w:val="000000"/>
          <w:kern w:val="58"/>
          <w:sz w:val="21"/>
        </w:rPr>
      </w:pPr>
      <w:r>
        <w:rPr>
          <w:rFonts w:hint="eastAsia" w:hAnsi="宋体"/>
          <w:color w:val="000000"/>
          <w:kern w:val="58"/>
          <w:sz w:val="21"/>
          <w:lang w:val="en-US" w:eastAsia="zh-CN"/>
        </w:rPr>
        <w:t>2)预留设备开孔应采用钢盖板、防火泥进行封堵,具体的封堵要求如下：</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w:t>
      </w:r>
      <w:r>
        <w:rPr>
          <w:rFonts w:hint="eastAsia" w:ascii="Calibri" w:hAnsi="Calibri" w:cs="Calibri"/>
          <w:color w:val="000000"/>
          <w:kern w:val="58"/>
          <w:sz w:val="21"/>
          <w:lang w:val="en-US" w:eastAsia="zh-CN"/>
        </w:rPr>
        <w:fldChar w:fldCharType="begin"/>
      </w:r>
      <w:r>
        <w:rPr>
          <w:rFonts w:hint="eastAsia" w:ascii="Calibri" w:hAnsi="Calibri" w:cs="Calibri"/>
          <w:color w:val="000000"/>
          <w:kern w:val="58"/>
          <w:sz w:val="21"/>
          <w:lang w:val="en-US" w:eastAsia="zh-CN"/>
        </w:rPr>
        <w:instrText xml:space="preserve"> = 1 \* GB3 \* MERGEFORMAT </w:instrText>
      </w:r>
      <w:r>
        <w:rPr>
          <w:rFonts w:hint="eastAsia" w:ascii="Calibri" w:hAnsi="Calibri" w:cs="Calibri"/>
          <w:color w:val="000000"/>
          <w:kern w:val="58"/>
          <w:sz w:val="21"/>
          <w:lang w:val="en-US" w:eastAsia="zh-CN"/>
        </w:rPr>
        <w:fldChar w:fldCharType="separate"/>
      </w:r>
      <w:r>
        <w:t>①</w:t>
      </w:r>
      <w:r>
        <w:rPr>
          <w:rFonts w:hint="eastAsia" w:ascii="Calibri" w:hAnsi="Calibri" w:cs="Calibri"/>
          <w:color w:val="000000"/>
          <w:kern w:val="58"/>
          <w:sz w:val="21"/>
          <w:lang w:val="en-US" w:eastAsia="zh-CN"/>
        </w:rPr>
        <w:fldChar w:fldCharType="end"/>
      </w:r>
      <w:r>
        <w:rPr>
          <w:rFonts w:hint="eastAsia" w:hAnsi="宋体"/>
          <w:color w:val="000000"/>
          <w:kern w:val="58"/>
          <w:sz w:val="21"/>
          <w:lang w:eastAsia="zh-CN"/>
        </w:rPr>
        <w:t>导线管：</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val="en-US" w:eastAsia="zh-CN"/>
        </w:rPr>
        <w:t xml:space="preserve"> a)塑料管：</w:t>
      </w:r>
      <w:r>
        <w:rPr>
          <w:rFonts w:hint="eastAsia" w:hAnsi="宋体"/>
          <w:color w:val="000000"/>
          <w:kern w:val="58"/>
          <w:sz w:val="21"/>
          <w:lang w:eastAsia="zh-CN"/>
        </w:rPr>
        <w:t>管道公称直径不大于 32mm，且环形间隙不大于 25mm：采用防火泥封堵。 管道公称直径不大于 32mm，且环形间隙大于 25mm：采用防火板并辅以防火泥封堵。 管道公称直径大于 32mm：采用阻火圈并辅以防火泥封堵。</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eastAsia="zh-CN"/>
        </w:rPr>
        <w:t>b)金属管： 环形间隙较小时：采用防火泥辅以矿棉填充材</w:t>
      </w:r>
      <w:r>
        <w:rPr>
          <w:rFonts w:hint="eastAsia" w:hAnsi="宋体"/>
          <w:color w:val="000000"/>
          <w:kern w:val="58"/>
          <w:sz w:val="21"/>
          <w:lang w:val="en-US" w:eastAsia="zh-CN"/>
        </w:rPr>
        <w:t>料。 环形间隙较大时：采用防火板封堵并辅以防火泥封堵。</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w:t>
      </w:r>
      <w:r>
        <w:rPr>
          <w:rFonts w:hint="eastAsia" w:hAnsi="宋体"/>
          <w:color w:val="000000"/>
          <w:kern w:val="58"/>
          <w:sz w:val="21"/>
          <w:lang w:val="en-US" w:eastAsia="zh-CN"/>
        </w:rPr>
        <w:fldChar w:fldCharType="begin"/>
      </w:r>
      <w:r>
        <w:rPr>
          <w:rFonts w:hint="eastAsia" w:hAnsi="宋体"/>
          <w:color w:val="000000"/>
          <w:kern w:val="58"/>
          <w:sz w:val="21"/>
          <w:lang w:val="en-US" w:eastAsia="zh-CN"/>
        </w:rPr>
        <w:instrText xml:space="preserve"> = 2 \* GB3 \* MERGEFORMAT </w:instrText>
      </w:r>
      <w:r>
        <w:rPr>
          <w:rFonts w:hint="eastAsia" w:hAnsi="宋体"/>
          <w:color w:val="000000"/>
          <w:kern w:val="58"/>
          <w:sz w:val="21"/>
          <w:lang w:val="en-US" w:eastAsia="zh-CN"/>
        </w:rPr>
        <w:fldChar w:fldCharType="separate"/>
      </w:r>
      <w:r>
        <w:t>②</w:t>
      </w:r>
      <w:r>
        <w:rPr>
          <w:rFonts w:hint="eastAsia" w:hAnsi="宋体"/>
          <w:color w:val="000000"/>
          <w:kern w:val="58"/>
          <w:sz w:val="21"/>
          <w:lang w:val="en-US" w:eastAsia="zh-CN"/>
        </w:rPr>
        <w:fldChar w:fldCharType="end"/>
      </w:r>
      <w:r>
        <w:rPr>
          <w:rFonts w:hint="eastAsia" w:hAnsi="宋体"/>
          <w:color w:val="000000"/>
          <w:kern w:val="58"/>
          <w:sz w:val="21"/>
          <w:lang w:eastAsia="zh-CN"/>
        </w:rPr>
        <w:t>电缆：</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贯穿孔口直径不大于 150mm：采用防火泥封堵。 贯穿孔口直径大于 150mm：采用防火板封堵并辅以防火泥封堵。</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eastAsia="zh-CN"/>
        </w:rPr>
        <w:t></w:t>
      </w:r>
      <w:r>
        <w:rPr>
          <w:rFonts w:hint="eastAsia" w:hAnsi="宋体"/>
          <w:color w:val="000000"/>
          <w:kern w:val="58"/>
          <w:sz w:val="21"/>
          <w:lang w:val="en-US" w:eastAsia="zh-CN"/>
        </w:rPr>
        <w:fldChar w:fldCharType="begin"/>
      </w:r>
      <w:r>
        <w:rPr>
          <w:rFonts w:hint="eastAsia" w:hAnsi="宋体"/>
          <w:color w:val="000000"/>
          <w:kern w:val="58"/>
          <w:sz w:val="21"/>
          <w:lang w:val="en-US" w:eastAsia="zh-CN"/>
        </w:rPr>
        <w:instrText xml:space="preserve"> = 3 \* GB3 \* MERGEFORMAT </w:instrText>
      </w:r>
      <w:r>
        <w:rPr>
          <w:rFonts w:hint="eastAsia" w:hAnsi="宋体"/>
          <w:color w:val="000000"/>
          <w:kern w:val="58"/>
          <w:sz w:val="21"/>
          <w:lang w:val="en-US" w:eastAsia="zh-CN"/>
        </w:rPr>
        <w:fldChar w:fldCharType="separate"/>
      </w:r>
      <w:r>
        <w:t>③</w:t>
      </w:r>
      <w:r>
        <w:rPr>
          <w:rFonts w:hint="eastAsia" w:hAnsi="宋体"/>
          <w:color w:val="000000"/>
          <w:kern w:val="58"/>
          <w:sz w:val="21"/>
          <w:lang w:val="en-US" w:eastAsia="zh-CN"/>
        </w:rPr>
        <w:fldChar w:fldCharType="end"/>
      </w:r>
      <w:r>
        <w:rPr>
          <w:rFonts w:hint="eastAsia" w:hAnsi="宋体"/>
          <w:color w:val="000000"/>
          <w:kern w:val="58"/>
          <w:sz w:val="21"/>
          <w:lang w:eastAsia="zh-CN"/>
        </w:rPr>
        <w:t xml:space="preserve">母线（槽）： </w:t>
      </w:r>
      <w:r>
        <w:rPr>
          <w:rFonts w:hint="eastAsia" w:hAnsi="宋体"/>
          <w:color w:val="000000"/>
          <w:kern w:val="58"/>
          <w:sz w:val="21"/>
          <w:lang w:val="en-US" w:eastAsia="zh-CN"/>
        </w:rPr>
        <w:t>采用防火板并辅以防火泥封堵。</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w:t>
      </w:r>
      <w:r>
        <w:rPr>
          <w:rFonts w:hint="eastAsia" w:hAnsi="宋体"/>
          <w:color w:val="000000"/>
          <w:kern w:val="58"/>
          <w:sz w:val="21"/>
          <w:lang w:val="en-US" w:eastAsia="zh-CN"/>
        </w:rPr>
        <w:fldChar w:fldCharType="begin"/>
      </w:r>
      <w:r>
        <w:rPr>
          <w:rFonts w:hint="eastAsia" w:hAnsi="宋体"/>
          <w:color w:val="000000"/>
          <w:kern w:val="58"/>
          <w:sz w:val="21"/>
          <w:lang w:val="en-US" w:eastAsia="zh-CN"/>
        </w:rPr>
        <w:instrText xml:space="preserve"> = 4 \* GB3 \* MERGEFORMAT </w:instrText>
      </w:r>
      <w:r>
        <w:rPr>
          <w:rFonts w:hint="eastAsia" w:hAnsi="宋体"/>
          <w:color w:val="000000"/>
          <w:kern w:val="58"/>
          <w:sz w:val="21"/>
          <w:lang w:val="en-US" w:eastAsia="zh-CN"/>
        </w:rPr>
        <w:fldChar w:fldCharType="separate"/>
      </w:r>
      <w:r>
        <w:t>④</w:t>
      </w:r>
      <w:r>
        <w:rPr>
          <w:rFonts w:hint="eastAsia" w:hAnsi="宋体"/>
          <w:color w:val="000000"/>
          <w:kern w:val="58"/>
          <w:sz w:val="21"/>
          <w:lang w:val="en-US" w:eastAsia="zh-CN"/>
        </w:rPr>
        <w:fldChar w:fldCharType="end"/>
      </w:r>
      <w:r>
        <w:rPr>
          <w:rFonts w:hint="eastAsia" w:hAnsi="宋体"/>
          <w:color w:val="000000"/>
          <w:kern w:val="58"/>
          <w:sz w:val="21"/>
          <w:lang w:eastAsia="zh-CN"/>
        </w:rPr>
        <w:t>电缆桥架： 采用防火板辅以防火泥封堵。</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w:t>
      </w:r>
      <w:r>
        <w:rPr>
          <w:rFonts w:hint="eastAsia" w:hAnsi="宋体"/>
          <w:color w:val="000000"/>
          <w:kern w:val="58"/>
          <w:sz w:val="21"/>
          <w:lang w:val="en-US" w:eastAsia="zh-CN"/>
        </w:rPr>
        <w:fldChar w:fldCharType="begin"/>
      </w:r>
      <w:r>
        <w:rPr>
          <w:rFonts w:hint="eastAsia" w:hAnsi="宋体"/>
          <w:color w:val="000000"/>
          <w:kern w:val="58"/>
          <w:sz w:val="21"/>
          <w:lang w:val="en-US" w:eastAsia="zh-CN"/>
        </w:rPr>
        <w:instrText xml:space="preserve"> = 5 \* GB3 \* MERGEFORMAT </w:instrText>
      </w:r>
      <w:r>
        <w:rPr>
          <w:rFonts w:hint="eastAsia" w:hAnsi="宋体"/>
          <w:color w:val="000000"/>
          <w:kern w:val="58"/>
          <w:sz w:val="21"/>
          <w:lang w:val="en-US" w:eastAsia="zh-CN"/>
        </w:rPr>
        <w:fldChar w:fldCharType="separate"/>
      </w:r>
      <w:r>
        <w:t>⑤</w:t>
      </w:r>
      <w:r>
        <w:rPr>
          <w:rFonts w:hint="eastAsia" w:hAnsi="宋体"/>
          <w:color w:val="000000"/>
          <w:kern w:val="58"/>
          <w:sz w:val="21"/>
          <w:lang w:val="en-US" w:eastAsia="zh-CN"/>
        </w:rPr>
        <w:fldChar w:fldCharType="end"/>
      </w:r>
      <w:r>
        <w:rPr>
          <w:rFonts w:hint="eastAsia" w:hAnsi="宋体"/>
          <w:color w:val="000000"/>
          <w:kern w:val="58"/>
          <w:sz w:val="21"/>
          <w:lang w:eastAsia="zh-CN"/>
        </w:rPr>
        <w:t>封闭式电缆线槽：环形间隙不大于 15mm：采用防火泥封堵。 环形间隙大于15mm：采用防火板并辅以防火泥封堵。 在贯穿孔口处，所有线槽均应在内部采用防火泥封堵。</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2.2.</w:t>
      </w:r>
      <w:bookmarkStart w:id="2" w:name="3.4.2.给排水及消防系统技术要求"/>
      <w:bookmarkEnd w:id="2"/>
      <w:r>
        <w:rPr>
          <w:rFonts w:hint="eastAsia" w:hAnsi="宋体"/>
          <w:color w:val="000000"/>
          <w:kern w:val="58"/>
          <w:sz w:val="21"/>
          <w:lang w:val="en-US" w:eastAsia="zh-CN"/>
        </w:rPr>
        <w:t>给排水及消防系统技术要求</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2.2.1.给排水技术标准及规范</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《城市轨道交通项目建设标准》建标104-2008</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《城市轨道交通技术规范》GB 50490-2009</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《地铁设计规范》GB 50157-2013</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《地铁设计防火标准》GB 51298-2018</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《建筑设计防火规范》GB50016-2014(2018版）</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《建筑灭火器配置设计规范》GB50140-2005</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《消防给水及消火栓系统技术规范》GB50974-2014</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浙江省消防技术规范难点问题操作技术指南》【浙公通字（2017）89号】</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《建筑工程消防验收规范》DB33/1071-2010</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《建筑机电工程抗震设计规范》GB50981-2014</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比选申请人应遵照以上（但不限于）施工技术标准和规范，上述技术标准版本如有更新，应</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遵照新版本执行。</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2.2.2.消防器材安装</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1)安装前应核对设备型号与设计是否相符，产品合格证、产品说明书及随机配件是否齐全。</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2)箱体安装前应进行外观质量检查，如发现有质量问题不得使用。</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3)箱体在安装过程中应与装修紧密配合，不得损坏装修面，与装修面的接缝应整齐美观。</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4)安装后的箱体上下角的水平位移不得超过２ｍｍ。</w:t>
      </w:r>
    </w:p>
    <w:p>
      <w:pPr>
        <w:pStyle w:val="5"/>
        <w:spacing w:line="360" w:lineRule="auto"/>
        <w:ind w:firstLine="420" w:firstLineChars="200"/>
        <w:rPr>
          <w:rFonts w:hint="default" w:hAnsi="宋体"/>
          <w:color w:val="000000"/>
          <w:kern w:val="58"/>
          <w:sz w:val="21"/>
          <w:highlight w:val="none"/>
          <w:lang w:val="en-US" w:eastAsia="zh-CN"/>
        </w:rPr>
      </w:pPr>
      <w:r>
        <w:rPr>
          <w:rFonts w:hint="eastAsia" w:hAnsi="宋体"/>
          <w:color w:val="000000"/>
          <w:kern w:val="58"/>
          <w:sz w:val="21"/>
          <w:highlight w:val="none"/>
          <w:lang w:val="en-US" w:eastAsia="zh-CN"/>
        </w:rPr>
        <w:t>5)消火栓安装前应作耐压强度试验。试验应以每批（同牌号，同规格、同型号）数量中抽查１０％，且不少于一个，如有漏、裂等不合格现象应再抽查２０％、仍有不合格的则须逐个试验。强度和严密性试验压力应为消火栓出厂规定的压力。同时应有试验记录备查，试验过程由监理进行全程旁站监督。</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6)消火栓安装时位置应正确，启闭灵活，关闭严密；室内消火栓栓口应朝外，栓口中心距离装修完成面高度为 1.1ｍ或满足设计要求。</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7)手提灭火器应按设计要求的型号、数量进行配置。</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2.2.3.管道安装</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1)一般要求以及准备工作</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依据图纸进行现场放线，并进行地下管线以及地表障碍物的调查，防止盲目施工造成对原有设施的损坏。</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给排水管道所用管材、管道附件以及其他材料，均应进行全面检查，不得有损坏和裂纹，管材必须符合设计标准及规范的要求，且应有合格证和出厂检验报告。</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 xml:space="preserve">管道安装应符合《地下铁道工程施工质量验收标准[两册] </w:t>
      </w:r>
      <w:bookmarkStart w:id="3" w:name="1"/>
      <w:bookmarkEnd w:id="3"/>
      <w:r>
        <w:rPr>
          <w:rFonts w:hint="eastAsia" w:hAnsi="宋体"/>
          <w:color w:val="000000"/>
          <w:kern w:val="58"/>
          <w:sz w:val="21"/>
          <w:lang w:val="en-US" w:eastAsia="zh-CN"/>
        </w:rPr>
        <w:t>》GB50299-2018、《建筑给水排水及采暖工程施工质量验收规范 GB 50242-2002》、《给水排水管道工程施工及验收规范 》GB50268-2008。</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2)管道铺设要求</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管道坐标以及标高允许偏差应符合规范要求。</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明装钢管成排安装时，直线部分应互相平行。曲线部分，当管道水平或垂直平行时， 应与直线部分保持等距，管道水平上下并行时，曲率半径应相等。</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钢管水平安装的支架间距，不得大于规范或设计图中的规定。</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管道采用法兰连接时，法兰应垂直于管子中心线，其表面应相互平行。给排水管道的法兰射垫，采用橡胶垫，射垫材质符合设计要求和施工规范规定，且无双层。法兰的射垫不 得突入管内，其外园到法兰螺孔为宜。法兰中间不得放置斜面垫或几个射垫，连接法兰的螺杆突出螺母长度，不宜大于螺杆直径的 1/2，应符合 GBJ23J-82 第 3.7.3 及第 5.2.3 条的规定。</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弯曲钢管、弯曲半径应符合相关规范的规定。</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水平管道纵横方向弯曲，立管垂直度，成排管段和成排阀门安装允许偏差应符合施工规范要求。</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各种管道接口应该符合设计要求，连接平整、严密牢固。</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埋地管道铺设后，先回填管道两侧以及管顶 0.5ｍ的土，管口部分不填，当水压试验合格后方可全部回填。回填土应该分层整实，密实度达到规范要求。</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管道的坡度应符合设计及施工规范要求。</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管道的螺纹连接应保证螺纹无断丝；镀锌钢管和配件的镀锌层无破损，螺纹露出部分防腐蚀良好，接口处无外露油麻等缺陷。</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管道的焊接应保证焊口平直度、焊缝加强面符合施工规范规定，焊波均匀一致，焊缝表面无结瘤、夹渣和气孔。</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3)管道压力试验、管道消毒和冲洗</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消防及承压排水管在试验压力下，稳压 30min，压降不大于 0.05 Mpa，且无渗漏水现象即为合格。</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2.2.4.附属设备及材料安装</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1)阀门、管件</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阀门、管件等在安装前均应进行检查，并清除管内、管口杂物。</w:t>
      </w:r>
    </w:p>
    <w:p>
      <w:pPr>
        <w:pStyle w:val="5"/>
        <w:spacing w:line="360" w:lineRule="auto"/>
        <w:ind w:firstLine="420" w:firstLineChars="200"/>
        <w:rPr>
          <w:rFonts w:hint="eastAsia" w:hAnsi="宋体"/>
          <w:color w:val="000000"/>
          <w:kern w:val="58"/>
          <w:sz w:val="21"/>
          <w:highlight w:val="green"/>
          <w:lang w:val="en-US" w:eastAsia="zh-CN"/>
        </w:rPr>
      </w:pPr>
      <w:r>
        <w:rPr>
          <w:rFonts w:hint="eastAsia" w:hAnsi="宋体"/>
          <w:color w:val="000000"/>
          <w:kern w:val="58"/>
          <w:sz w:val="21"/>
          <w:highlight w:val="none"/>
          <w:lang w:val="en-US" w:eastAsia="zh-CN"/>
        </w:rPr>
        <w:t>阀门安装前，应作耐压强度试验。试验应以每批（同牌号，同规格、同型号）数量中抽查 10％，且不少于一个，如有漏、裂不合格的应再抽查 20％、仍有不合格的则须逐个试验。对于安装在主干管上起切断作用的闭路阀门，应逐个作强度和严密性试验。强度和严密性试验压力应为阀门出厂规定的压力，同时应有试验记录备查，试验过程由监理进行全程旁站监督。</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阀门安装位置、方向应符合设计要求，阀门、管件的连接应牢固、紧密，不得有渗漏现象。安装后，阀门与管道中心线应垂直，操作机构灵活、准确；有传动装置的阀门，指示机构指示的位置应正确，传动可靠，无卡涩现象。</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阀门安装应保证其型号、规格符合设计要求，表面洁净，朝向正确，启闭灵活。</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管件表面不得有裂纹、重皮和麻面。</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 xml:space="preserve">安装的阀门在工程最终验收前不得有漏水痕迹。 </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2)压力表</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压力表及表盘在安装前应按设计要求核对其型号、规格，并检查产品合格证及说明书是否齐全。</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压力表安装位置正确、牢固、严密不漏。安装前均应按规定逐个校验，作好铅封后方可安装。</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3)支吊架</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管道支、吊、托架的间距及形式应满足施工图及相关规范的要求。</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管道支、吊、托架的位置应正确，埋设应平整牢固。</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管道支、吊、托架与管道接触应紧密，固定应牢靠。</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 xml:space="preserve">固定在建筑结构上的管道支、吊架，不得影响结构安全。 </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 xml:space="preserve">  抗震设防烈度6度及以上地区的建筑机电工程设施必须进行抗震设计。本工程DN65以上的消防管应采用抗震支架。可参考图集《17T206地铁工程抗震支吊架设计与安装》。</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2.2.5.调试</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给排水及水消防系统调试 给排水及水消防系统调试包括单体设备的测试和各系统的调试两部分，安装比选申请人应在投标文件中提供调试方案，在调试过程中安装比选申请人应严格按调试方案和计划进行。</w:t>
      </w:r>
    </w:p>
    <w:p>
      <w:pPr>
        <w:pStyle w:val="5"/>
        <w:spacing w:line="360" w:lineRule="auto"/>
        <w:ind w:firstLine="420" w:firstLineChars="200"/>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2.</w:t>
      </w:r>
      <w:bookmarkStart w:id="4" w:name="3.4.5.火灾自动报警系统技术要求"/>
      <w:bookmarkEnd w:id="4"/>
      <w:r>
        <w:rPr>
          <w:rFonts w:hint="eastAsia" w:hAnsi="宋体"/>
          <w:color w:val="000000"/>
          <w:kern w:val="58"/>
          <w:sz w:val="21"/>
          <w:highlight w:val="none"/>
          <w:lang w:val="en-US" w:eastAsia="zh-CN"/>
        </w:rPr>
        <w:t>3火灾自动报警系统技术要求</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2.3.1.FAS 专业技术标准和规范</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承包商首先应遵守由供货商提供的安装指南；对于所有材料、设备和施工工艺，都应遵守国家和行业主管部门颁发的现行技术规范、标准和要求。若国家或部颁标准和规范作出修改时，则以修改后的新标准和规范为准，若供货商安装指南与下列标准有矛盾处，报业主及设计确定。本工程必须遵照执行的现行技术规范主要有（包括但不限于）：</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《地铁设计规范》 GB50157-2013</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《火灾自动报警系统设计规范》GB50116-2013</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比选申请人应遵照以上（但不限于）规范，上述技术标准版本如有更新，应遵照新版本执行。</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2.3.2.一般规定</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1)火灾自动报警系统的施工必须接受公安消防监督机构监督管理，应满足我国相关消防规范。系统施工前需办理相关的审批及备案手续，系统在交付使用前必须通过公安消防监督机构验收。</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2)火灾自动报警系统在施工前，应向有关主管部门办理相关的手续。</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3)所有盘、柜、箱在安装完毕后，必须用防火泥将盘、柜、箱的进线口和出线口进行严 密地和可靠地封堵。</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4)所有设备在安装时应避存在的和可能产生潮湿、腐蚀和强干扰的设备。</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2.3.3.管道安装及系统布线</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1)火灾自动报警系统的布线应符合设计的要求以及《火灾自动报警系统施工验收规范》、</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《电气装置安装工程电缆线路施工及验收规范》和《电气装置安装工程接地装置施工及验收规范》等现行有关规范的规定。</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2)所有现场安装之设备、线路、交接位、喉管、线糟，应加以适当的标记以便识别，所 有标记必须依照施工图上之列名。</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3)火灾自动报警系统的管道连接采用螺纹连接，管道与接线盒必须加丝扣套连接。线管 与控制盘连接后必须做相应密封处理。所有的管道必须采用镀锌钢管（在管线密集区域及 模块箱进线部分位置采用线槽），管道的敷设方式大部分采用明敷，并应在其表面涂上防火 涂料，防火涂料应涂抹均匀，且不应被其他涂料所覆盖。若管道需要经过一些易爆或易受 腐蚀的区域时，必须采取相应的防爆防腐保护措施。</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4)火灾自动报警系统布线时应根据现行国家标准《火灾自动报警系统设计规范》的规定， 对导线的种类、电压等级进行检查。</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5)管道或线槽的穿线前应将管内或线槽内的积水及杂物清除干净。在穿线前，应将管内 的锋利边缘清除干净，避免线路受损。</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6)当在室外敷设管道及设备时，对防水、防潮及防雷方面应做出适当的保护。</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7)所有管道安装必须保持整齐，在一个相同的基准内施工，应与墙身及相邻的管道保持 平行或垂直。在同一平面之相同区间内，所有管道必须保持高度一致。</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8)敷设管路超过下列长度时，应在便于接线处装设接线盒：</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管子长度每超过 30 米，无弯曲时；</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管子长度每超过 20 米，有一弯曲时；</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管子长度每超过 10 米，有二弯曲时；</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 xml:space="preserve">管子长度每超过 8 米，有三弯曲时。 </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9)管子入盒时，盒外侧应套锁母，内侧必须装护口，在吊顶内敷设时，盒的内外侧均应套锁母。</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10)在吊顶内敷设各类管路和线槽时，宜采用单独的卡具吊装或支撑物固定。</w:t>
      </w:r>
    </w:p>
    <w:p>
      <w:pPr>
        <w:pStyle w:val="5"/>
        <w:spacing w:line="360" w:lineRule="auto"/>
        <w:ind w:firstLine="420" w:firstLineChars="200"/>
        <w:rPr>
          <w:rFonts w:hint="eastAsia" w:hAnsi="宋体"/>
          <w:color w:val="000000"/>
          <w:kern w:val="58"/>
          <w:sz w:val="21"/>
        </w:rPr>
      </w:pPr>
      <w:r>
        <w:rPr>
          <w:rFonts w:hint="eastAsia" w:hAnsi="宋体"/>
          <w:color w:val="000000"/>
          <w:kern w:val="58"/>
          <w:sz w:val="21"/>
          <w:lang w:val="en-US" w:eastAsia="zh-CN"/>
        </w:rPr>
        <w:t>11)线槽的直线段每隔 1.0—1.5 米设置吊点或支点，在下列部位也应设置吊点或支点：</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槽接头处；</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距接线盒 0.2 米处；</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线槽走向改变或转角处。</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 xml:space="preserve">吊装线槽的吊杆直径，不应少于 6 毫米。 </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val="en-US" w:eastAsia="zh-CN"/>
        </w:rPr>
        <w:t>12)管线经过建筑物的变形缝（包括沉降缝、伸缩缝、抗震缝等）处，应采取补偿措施，导线跨越变形缝的两侧应固定，并留有适当余量。</w:t>
      </w:r>
      <w:r>
        <w:rPr>
          <w:rFonts w:hint="eastAsia" w:hAnsi="宋体"/>
          <w:color w:val="000000"/>
          <w:kern w:val="58"/>
          <w:sz w:val="21"/>
          <w:lang w:eastAsia="zh-CN"/>
        </w:rPr>
        <w:t xml:space="preserve"> </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 xml:space="preserve">13)从接线盒、线槽等处引到探测器底座盒、模块箱的线路均应加金属软管保护，使用的金属软管长度不能超过 1 米。 </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14)不同系统、不同电压等级、不同电流类别的线路，不应穿在同一管内或线槽的同一槽孔内，并且相距至少 0.5 米。管路必须可靠接地，但不可作为地线用。</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15)报警回路及 24V 供电的控制线路可穿入同一根管内，其余管线需采用一线一管的敷 设方式。与消防电话通讯电缆必须分别独立穿管，不得混乱。所有导线之连接必须在已确 认接线端子内，每个端子上只能同时容纳二根导线。接线端子箱内的端子为压接的端子板，其接线端子上及导线上应有相应的标号。</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16)导线在管内或线槽内，不应有接头或扭结。导线的接头，应在接线盒内焊接或用端子连接，不允许中途搭接。</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17)敷设在多尘或潮湿场所管路的管口和管子连接处，均应作密封处理。</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18)所有在管道内、接线盒、现场设备及控制盘内之接线必须保持整齐。</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19)由于采用十二位模块箱，模块到监控的设备的线路相对集中，应注意穿管绝缘导线 或电缆的总截面积，不应超过管内截面积的 40%。必要时，由模块箱到监视或控制设备的电 线电缆所采用的线管应采取多根穿线敷设。当在管内进行布线时，必须做好防护措施(例如 加入适当的润滑剂)，以防止伤及导线。</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20)所有模块箱均采用下进线方式。</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21)FAS 线槽仅在模块箱进线及过轨管线会集处使用。</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22)当敷设光纤电缆时，必须安排至少一位合格的工程师在场指导，所有接头之安装必由合格的技人员负责。</w:t>
      </w:r>
    </w:p>
    <w:p>
      <w:pPr>
        <w:pStyle w:val="5"/>
        <w:spacing w:line="360" w:lineRule="auto"/>
        <w:ind w:firstLine="420" w:firstLineChars="200"/>
        <w:rPr>
          <w:rFonts w:hint="eastAsia" w:hAnsi="宋体"/>
          <w:color w:val="000000"/>
          <w:kern w:val="58"/>
          <w:sz w:val="21"/>
          <w:highlight w:val="none"/>
          <w:lang w:eastAsia="zh-CN"/>
        </w:rPr>
      </w:pPr>
      <w:r>
        <w:rPr>
          <w:rFonts w:hint="eastAsia" w:hAnsi="宋体"/>
          <w:color w:val="000000"/>
          <w:kern w:val="58"/>
          <w:sz w:val="21"/>
          <w:lang w:eastAsia="zh-CN"/>
        </w:rPr>
        <w:t>23)光纤电缆敷设完后，安装单位必须安排相关的测试，确保光缆能正常工作。</w:t>
      </w:r>
      <w:r>
        <w:rPr>
          <w:rFonts w:hint="eastAsia" w:hAnsi="宋体"/>
          <w:color w:val="000000"/>
          <w:kern w:val="58"/>
          <w:sz w:val="21"/>
          <w:highlight w:val="none"/>
          <w:lang w:eastAsia="zh-CN"/>
        </w:rPr>
        <w:t>最后应通过系统供货商、监理及比选发起人确认。</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24)火灾自动报警系统导线敷设后，在接上设备前应对每回路的导线用 500V 的兆欧表测量绝缘电阻，其对地绝缘电阻不应少于20兆欧姆。注意：测试时应确保回路上未安装有任何电子设备，包括探测器底座，否则会烧毁回路上设备。</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25)火灾自动报警系统所有的安装材料应满足有关消防规定。安装控制盘和模块箱时， 应考虑必要的防水措施，并在设备安装完毕后，应采取适当的防潮措施。所有的接线盒、 模块盒及接线附材等必须采用热镀锌处理。</w:t>
      </w:r>
    </w:p>
    <w:p>
      <w:pPr>
        <w:pStyle w:val="5"/>
        <w:spacing w:line="360" w:lineRule="auto"/>
        <w:ind w:firstLine="420" w:firstLineChars="200"/>
        <w:rPr>
          <w:rFonts w:hint="eastAsia" w:hAnsi="宋体"/>
          <w:color w:val="000000"/>
          <w:kern w:val="58"/>
          <w:sz w:val="21"/>
          <w:highlight w:val="none"/>
          <w:lang w:eastAsia="zh-CN"/>
        </w:rPr>
      </w:pPr>
      <w:r>
        <w:rPr>
          <w:rFonts w:hint="eastAsia" w:hAnsi="宋体"/>
          <w:color w:val="000000"/>
          <w:kern w:val="58"/>
          <w:sz w:val="21"/>
          <w:highlight w:val="none"/>
          <w:lang w:eastAsia="zh-CN"/>
        </w:rPr>
        <w:t>26)所有柜、箱的安装应达到柜、箱本身的 IP 等级，不应因施工因素导致IP 防护等级降低。</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val="en-US" w:eastAsia="zh-CN"/>
        </w:rPr>
        <w:t>2</w:t>
      </w:r>
      <w:r>
        <w:rPr>
          <w:rFonts w:hint="eastAsia" w:hAnsi="宋体"/>
          <w:color w:val="000000"/>
          <w:kern w:val="58"/>
          <w:sz w:val="21"/>
          <w:lang w:eastAsia="zh-CN"/>
        </w:rPr>
        <w:t>.</w:t>
      </w:r>
      <w:r>
        <w:rPr>
          <w:rFonts w:hint="eastAsia" w:hAnsi="宋体"/>
          <w:color w:val="000000"/>
          <w:kern w:val="58"/>
          <w:sz w:val="21"/>
          <w:lang w:val="en-US" w:eastAsia="zh-CN"/>
        </w:rPr>
        <w:t>3</w:t>
      </w:r>
      <w:r>
        <w:rPr>
          <w:rFonts w:hint="eastAsia" w:hAnsi="宋体"/>
          <w:color w:val="000000"/>
          <w:kern w:val="58"/>
          <w:sz w:val="21"/>
          <w:lang w:eastAsia="zh-CN"/>
        </w:rPr>
        <w:t>.4.火灾探测器及模块的安装</w:t>
      </w:r>
    </w:p>
    <w:p>
      <w:pPr>
        <w:pStyle w:val="5"/>
        <w:spacing w:line="360" w:lineRule="auto"/>
        <w:ind w:firstLine="420" w:firstLineChars="200"/>
        <w:rPr>
          <w:rFonts w:hint="eastAsia" w:hAnsi="宋体"/>
          <w:color w:val="000000"/>
          <w:kern w:val="58"/>
          <w:sz w:val="21"/>
        </w:rPr>
      </w:pPr>
      <w:r>
        <w:rPr>
          <w:rFonts w:hint="eastAsia" w:hAnsi="宋体"/>
          <w:color w:val="000000"/>
          <w:kern w:val="58"/>
          <w:sz w:val="21"/>
          <w:lang w:eastAsia="zh-CN"/>
        </w:rPr>
        <w:t>1)点型火灾探测器的安装位置，应符合下列规定：</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探测器至墙壁、梁边的水平距离，不应小于 0.5m；</w:t>
      </w:r>
      <w:r>
        <w:rPr>
          <w:rFonts w:hint="eastAsia" w:hAnsi="宋体"/>
          <w:color w:val="000000"/>
          <w:kern w:val="58"/>
          <w:sz w:val="21"/>
          <w:lang w:val="en-US" w:eastAsia="zh-CN"/>
        </w:rPr>
        <w:t xml:space="preserve"> </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探测器周围 0.5m 内，不应有遮挡物；</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探测器至空调送风口边的水平距离，不应小于 1.5m，否则易产生误报；</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探测器必须水平安装,感烟探测器的安装间距不应超过 15m，探测器距墙的距离，不应大于探测器安装间距的一半。</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2)线型火灾探测器必须按照设备本身的安装特性要求安装，并应符合现行有关国家标准的规定。</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3)探测器的底座应固定牢靠，其导线连接必须可靠压接，不能焊接。</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4)探测器底座的外接导线，应留有不小于 15cm 的余量，入端处应有明显标志。</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5)探测器在即将调试时方可安装，在安装前应妥善保管，并应采取防尘、防潮、防腐蚀措施。</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6)在探测器安装完成之后，火灾自动报警系统验收之前这段时间，必须采取相应的保护措施，以保护探头免受灰尘影响而缩短其寿命。</w:t>
      </w:r>
    </w:p>
    <w:p>
      <w:pPr>
        <w:pStyle w:val="5"/>
        <w:spacing w:line="360" w:lineRule="auto"/>
        <w:ind w:firstLine="420" w:firstLineChars="200"/>
        <w:rPr>
          <w:rFonts w:hint="eastAsia" w:hAnsi="宋体"/>
          <w:color w:val="000000"/>
          <w:kern w:val="58"/>
          <w:sz w:val="21"/>
          <w:highlight w:val="none"/>
          <w:lang w:eastAsia="zh-CN"/>
        </w:rPr>
      </w:pPr>
      <w:r>
        <w:rPr>
          <w:rFonts w:hint="eastAsia" w:hAnsi="宋体"/>
          <w:color w:val="000000"/>
          <w:kern w:val="58"/>
          <w:sz w:val="21"/>
          <w:lang w:eastAsia="zh-CN"/>
        </w:rPr>
        <w:t>7)在安装探头及模块时，应在每个设备进线方向做好标志，并将该设备所附带的条形码贴纸贴到</w:t>
      </w:r>
      <w:r>
        <w:rPr>
          <w:rFonts w:hint="eastAsia" w:hAnsi="宋体"/>
          <w:color w:val="000000"/>
          <w:kern w:val="58"/>
          <w:sz w:val="21"/>
          <w:highlight w:val="none"/>
          <w:lang w:eastAsia="zh-CN"/>
        </w:rPr>
        <w:t>由</w:t>
      </w:r>
      <w:r>
        <w:rPr>
          <w:rFonts w:hint="eastAsia" w:hAnsi="宋体"/>
          <w:color w:val="000000"/>
          <w:kern w:val="58"/>
          <w:sz w:val="21"/>
          <w:highlight w:val="none"/>
          <w:lang w:val="en-US" w:eastAsia="zh-CN"/>
        </w:rPr>
        <w:t>厂家</w:t>
      </w:r>
      <w:r>
        <w:rPr>
          <w:rFonts w:hint="eastAsia" w:hAnsi="宋体"/>
          <w:color w:val="000000"/>
          <w:kern w:val="58"/>
          <w:sz w:val="21"/>
          <w:highlight w:val="none"/>
          <w:lang w:eastAsia="zh-CN"/>
        </w:rPr>
        <w:t>提供的点数表相对应编号的位置上，一对一认真做好记录，以确保将来调试工作的顺利进行。</w:t>
      </w:r>
    </w:p>
    <w:p>
      <w:pPr>
        <w:pStyle w:val="5"/>
        <w:spacing w:line="360" w:lineRule="auto"/>
        <w:ind w:firstLine="420" w:firstLineChars="200"/>
        <w:rPr>
          <w:rFonts w:hint="eastAsia" w:hAnsi="宋体"/>
          <w:color w:val="000000"/>
          <w:kern w:val="58"/>
          <w:sz w:val="21"/>
          <w:highlight w:val="none"/>
          <w:lang w:eastAsia="zh-CN"/>
        </w:rPr>
      </w:pPr>
      <w:r>
        <w:rPr>
          <w:rFonts w:hint="eastAsia" w:hAnsi="宋体"/>
          <w:color w:val="000000"/>
          <w:kern w:val="58"/>
          <w:sz w:val="21"/>
          <w:highlight w:val="none"/>
          <w:lang w:val="en-US" w:eastAsia="zh-CN"/>
        </w:rPr>
        <w:t>2</w:t>
      </w:r>
      <w:r>
        <w:rPr>
          <w:rFonts w:hint="eastAsia" w:hAnsi="宋体"/>
          <w:color w:val="000000"/>
          <w:kern w:val="58"/>
          <w:sz w:val="21"/>
          <w:highlight w:val="none"/>
          <w:lang w:eastAsia="zh-CN"/>
        </w:rPr>
        <w:t>.</w:t>
      </w:r>
      <w:r>
        <w:rPr>
          <w:rFonts w:hint="eastAsia" w:hAnsi="宋体"/>
          <w:color w:val="000000"/>
          <w:kern w:val="58"/>
          <w:sz w:val="21"/>
          <w:highlight w:val="none"/>
          <w:lang w:val="en-US" w:eastAsia="zh-CN"/>
        </w:rPr>
        <w:t>3</w:t>
      </w:r>
      <w:r>
        <w:rPr>
          <w:rFonts w:hint="eastAsia" w:hAnsi="宋体"/>
          <w:color w:val="000000"/>
          <w:kern w:val="58"/>
          <w:sz w:val="21"/>
          <w:highlight w:val="none"/>
          <w:lang w:eastAsia="zh-CN"/>
        </w:rPr>
        <w:t>.5.手动报警按钮的安装</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1)手动报警按钮，应安装在墙上距地（楼）面高度 1.5m 处，电话插孔应放在手动火灾报警按钮旁。</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2)手动报警按钮，应安装牢固，并不得倾斜。</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3)手动报警按钮的外接导线，应留有不小于 10cm 的余量，且在其端部应有明显标志。</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4)红外光束感烟探测器的安装，应保持设备安装水平高度及垂直高度一致。</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val="en-US" w:eastAsia="zh-CN"/>
        </w:rPr>
        <w:t>2</w:t>
      </w:r>
      <w:r>
        <w:rPr>
          <w:rFonts w:hint="eastAsia" w:hAnsi="宋体"/>
          <w:color w:val="000000"/>
          <w:kern w:val="58"/>
          <w:sz w:val="21"/>
          <w:lang w:eastAsia="zh-CN"/>
        </w:rPr>
        <w:t>.</w:t>
      </w:r>
      <w:r>
        <w:rPr>
          <w:rFonts w:hint="eastAsia" w:hAnsi="宋体"/>
          <w:color w:val="000000"/>
          <w:kern w:val="58"/>
          <w:sz w:val="21"/>
          <w:lang w:val="en-US" w:eastAsia="zh-CN"/>
        </w:rPr>
        <w:t>3</w:t>
      </w:r>
      <w:r>
        <w:rPr>
          <w:rFonts w:hint="eastAsia" w:hAnsi="宋体"/>
          <w:color w:val="000000"/>
          <w:kern w:val="58"/>
          <w:sz w:val="21"/>
          <w:lang w:eastAsia="zh-CN"/>
        </w:rPr>
        <w:t>.6.感温电缆的安装</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1)感温电缆的敷设应紧贴监视设备的表面，所采取的缠绕方式和间距应保持均匀，安装时应避免感温电缆受被监视设备或外部设备的挤压。</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2)感温电缆的控制器和监视模块敷设时，应考虑采取必要的抗干扰隔离措施，尽量避免安装在环境因数复杂的场所。</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val="en-US" w:eastAsia="zh-CN"/>
        </w:rPr>
        <w:t>2</w:t>
      </w:r>
      <w:r>
        <w:rPr>
          <w:rFonts w:hint="eastAsia" w:hAnsi="宋体"/>
          <w:color w:val="000000"/>
          <w:kern w:val="58"/>
          <w:sz w:val="21"/>
          <w:lang w:eastAsia="zh-CN"/>
        </w:rPr>
        <w:t>.</w:t>
      </w:r>
      <w:r>
        <w:rPr>
          <w:rFonts w:hint="eastAsia" w:hAnsi="宋体"/>
          <w:color w:val="000000"/>
          <w:kern w:val="58"/>
          <w:sz w:val="21"/>
          <w:lang w:val="en-US" w:eastAsia="zh-CN"/>
        </w:rPr>
        <w:t>3</w:t>
      </w:r>
      <w:r>
        <w:rPr>
          <w:rFonts w:hint="eastAsia" w:hAnsi="宋体"/>
          <w:color w:val="000000"/>
          <w:kern w:val="58"/>
          <w:sz w:val="21"/>
          <w:lang w:eastAsia="zh-CN"/>
        </w:rPr>
        <w:t>.7.火灾报警控制器的安装</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1)控制器应安装牢固，不得倾斜。当其安装在轻质墙上时，应采取加固措施。</w:t>
      </w:r>
    </w:p>
    <w:p>
      <w:pPr>
        <w:pStyle w:val="5"/>
        <w:spacing w:line="360" w:lineRule="auto"/>
        <w:ind w:firstLine="420" w:firstLineChars="200"/>
        <w:rPr>
          <w:rFonts w:hint="eastAsia" w:hAnsi="宋体"/>
          <w:color w:val="000000"/>
          <w:kern w:val="58"/>
          <w:sz w:val="21"/>
        </w:rPr>
      </w:pPr>
      <w:r>
        <w:rPr>
          <w:rFonts w:hint="eastAsia" w:hAnsi="宋体"/>
          <w:color w:val="000000"/>
          <w:kern w:val="58"/>
          <w:sz w:val="21"/>
          <w:lang w:eastAsia="zh-CN"/>
        </w:rPr>
        <w:t>2)引入控制器的电缆或导线，应符合下列要求：</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配线应整齐，避免交叉，并应固定牢靠；</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电缆蕊线和所配导线的端部，均应标明编号，与图纸一致，字迹清晰不易退色；</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端子板的的每个接线端，接线不得超过两根；</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电缆蕊和导线，应留有不少于 20 厘米的余量；</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进线管应密封，导线应绑扎成束；</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控制器的接地应牢固，并有明显标志。</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val="en-US" w:eastAsia="zh-CN"/>
        </w:rPr>
        <w:t>2</w:t>
      </w:r>
      <w:r>
        <w:rPr>
          <w:rFonts w:hint="eastAsia" w:hAnsi="宋体"/>
          <w:color w:val="000000"/>
          <w:kern w:val="58"/>
          <w:sz w:val="21"/>
          <w:lang w:eastAsia="zh-CN"/>
        </w:rPr>
        <w:t>.</w:t>
      </w:r>
      <w:r>
        <w:rPr>
          <w:rFonts w:hint="eastAsia" w:hAnsi="宋体"/>
          <w:color w:val="000000"/>
          <w:kern w:val="58"/>
          <w:sz w:val="21"/>
          <w:lang w:val="en-US" w:eastAsia="zh-CN"/>
        </w:rPr>
        <w:t>3</w:t>
      </w:r>
      <w:r>
        <w:rPr>
          <w:rFonts w:hint="eastAsia" w:hAnsi="宋体"/>
          <w:color w:val="000000"/>
          <w:kern w:val="58"/>
          <w:sz w:val="21"/>
          <w:lang w:eastAsia="zh-CN"/>
        </w:rPr>
        <w:t>.8.消防控制设备的安装</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1)消防控制设备在安装前，应进行功能检查，不合格者，不得安装。</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2)消防控制设备的外接导线。当采用金属软管作套管时，其长度不宜大于1米，并应采用管卡固定，其固定点间距不应大于 0.5 米。金属软管与消防控制设备的接线盒，应采用锁 母固定，并应根据配管规定接地。</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3)消防控制设备外接导线的端部，应有明显标志。</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4)消防控制设备盘内不同电压等级、不同电流类别的端子，应分开、并有明显标志。</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5)消防插孔电话的安装参照手动火灾按钮的相关条例,同时要做好防潮处理。</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val="en-US" w:eastAsia="zh-CN"/>
        </w:rPr>
        <w:t>2</w:t>
      </w:r>
      <w:r>
        <w:rPr>
          <w:rFonts w:hint="eastAsia" w:hAnsi="宋体"/>
          <w:color w:val="000000"/>
          <w:kern w:val="58"/>
          <w:sz w:val="21"/>
          <w:lang w:eastAsia="zh-CN"/>
        </w:rPr>
        <w:t>.</w:t>
      </w:r>
      <w:r>
        <w:rPr>
          <w:rFonts w:hint="eastAsia" w:hAnsi="宋体"/>
          <w:color w:val="000000"/>
          <w:kern w:val="58"/>
          <w:sz w:val="21"/>
          <w:lang w:val="en-US" w:eastAsia="zh-CN"/>
        </w:rPr>
        <w:t>3</w:t>
      </w:r>
      <w:r>
        <w:rPr>
          <w:rFonts w:hint="eastAsia" w:hAnsi="宋体"/>
          <w:color w:val="000000"/>
          <w:kern w:val="58"/>
          <w:sz w:val="21"/>
          <w:lang w:eastAsia="zh-CN"/>
        </w:rPr>
        <w:t>.9.系统接地装置的安装</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1)工作接地线应采用铜蕊绝缘导线或电缆，不得利用镀锌扁铁或金属软管。</w:t>
      </w:r>
    </w:p>
    <w:p>
      <w:pPr>
        <w:pStyle w:val="5"/>
        <w:spacing w:line="360" w:lineRule="auto"/>
        <w:ind w:firstLine="420" w:firstLineChars="200"/>
        <w:rPr>
          <w:rFonts w:hint="eastAsia" w:hAnsi="宋体"/>
          <w:color w:val="000000"/>
          <w:kern w:val="58"/>
          <w:sz w:val="21"/>
          <w:highlight w:val="none"/>
          <w:lang w:eastAsia="zh-CN"/>
        </w:rPr>
      </w:pPr>
      <w:r>
        <w:rPr>
          <w:rFonts w:hint="eastAsia" w:hAnsi="宋体"/>
          <w:color w:val="000000"/>
          <w:kern w:val="58"/>
          <w:sz w:val="21"/>
          <w:highlight w:val="none"/>
          <w:lang w:eastAsia="zh-CN"/>
        </w:rPr>
        <w:t>2)由</w:t>
      </w:r>
      <w:r>
        <w:rPr>
          <w:rFonts w:hint="eastAsia" w:hAnsi="宋体"/>
          <w:color w:val="000000"/>
          <w:kern w:val="58"/>
          <w:sz w:val="21"/>
          <w:highlight w:val="none"/>
          <w:lang w:val="en-US" w:eastAsia="zh-CN"/>
        </w:rPr>
        <w:t>消防控制设备</w:t>
      </w:r>
      <w:r>
        <w:rPr>
          <w:rFonts w:hint="eastAsia" w:hAnsi="宋体"/>
          <w:color w:val="000000"/>
          <w:kern w:val="58"/>
          <w:sz w:val="21"/>
          <w:highlight w:val="none"/>
          <w:lang w:eastAsia="zh-CN"/>
        </w:rPr>
        <w:t>引至接地体的工作接地线，通过墙壁时，应穿入钢管或其它坚固的保护管。</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3)工作接地线与保护接地线，必须分开，保护接地导体不得利用金属软管。所有屏蔽线 必须连通，并且不能接地。</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4)接地装置施工完毕后，应及时作隐蔽工程验收。</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val="en-US" w:eastAsia="zh-CN"/>
        </w:rPr>
        <w:t>2</w:t>
      </w:r>
      <w:r>
        <w:rPr>
          <w:rFonts w:hint="eastAsia" w:hAnsi="宋体"/>
          <w:color w:val="000000"/>
          <w:kern w:val="58"/>
          <w:sz w:val="21"/>
          <w:lang w:eastAsia="zh-CN"/>
        </w:rPr>
        <w:t>.</w:t>
      </w:r>
      <w:r>
        <w:rPr>
          <w:rFonts w:hint="eastAsia" w:hAnsi="宋体"/>
          <w:color w:val="000000"/>
          <w:kern w:val="58"/>
          <w:sz w:val="21"/>
          <w:lang w:val="en-US" w:eastAsia="zh-CN"/>
        </w:rPr>
        <w:t>3</w:t>
      </w:r>
      <w:r>
        <w:rPr>
          <w:rFonts w:hint="eastAsia" w:hAnsi="宋体"/>
          <w:color w:val="000000"/>
          <w:kern w:val="58"/>
          <w:sz w:val="21"/>
          <w:lang w:eastAsia="zh-CN"/>
        </w:rPr>
        <w:t>.10.系统回路线路的检测测量</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1)回路线正负极性情况：用万用表分别对回路线路正负线的“进线”和“出线”进行接 通测量。</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2)回路设备的接线一律采用并联方式进行，整个报警回路线路严禁采用“T”接。</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3)监视模块到其所负责的被监控设备这段线路必须确保其不能有接地、开路的现象以及 保证不能有任何的外来电压的影响。</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4)控制模块到其所负责的控制设备这段线路必须确保其不能有接地、开路及短路的现象。</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val="en-US" w:eastAsia="zh-CN"/>
        </w:rPr>
        <w:t>2</w:t>
      </w:r>
      <w:r>
        <w:rPr>
          <w:rFonts w:hint="eastAsia" w:hAnsi="宋体"/>
          <w:color w:val="000000"/>
          <w:kern w:val="58"/>
          <w:sz w:val="21"/>
          <w:lang w:eastAsia="zh-CN"/>
        </w:rPr>
        <w:t>.</w:t>
      </w:r>
      <w:r>
        <w:rPr>
          <w:rFonts w:hint="eastAsia" w:hAnsi="宋体"/>
          <w:color w:val="000000"/>
          <w:kern w:val="58"/>
          <w:sz w:val="21"/>
          <w:lang w:val="en-US" w:eastAsia="zh-CN"/>
        </w:rPr>
        <w:t>3</w:t>
      </w:r>
      <w:r>
        <w:rPr>
          <w:rFonts w:hint="eastAsia" w:hAnsi="宋体"/>
          <w:color w:val="000000"/>
          <w:kern w:val="58"/>
          <w:sz w:val="21"/>
          <w:lang w:eastAsia="zh-CN"/>
        </w:rPr>
        <w:t>.11.系统调试</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1)安装承包商应按照调试程序完成系统整体调试，并将系统调试记录汇总。</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2)系统调试前，应先分别对探测器、手动报警按钮、消防控制设备等逐个进行单体通电 检查，正常后方可进行系统调试。</w:t>
      </w:r>
    </w:p>
    <w:p>
      <w:pPr>
        <w:pStyle w:val="5"/>
        <w:spacing w:line="360" w:lineRule="auto"/>
        <w:ind w:firstLine="420" w:firstLineChars="200"/>
        <w:rPr>
          <w:rFonts w:hint="eastAsia" w:hAnsi="宋体"/>
          <w:color w:val="000000"/>
          <w:kern w:val="58"/>
          <w:sz w:val="21"/>
          <w:highlight w:val="none"/>
          <w:lang w:eastAsia="zh-CN"/>
        </w:rPr>
      </w:pPr>
      <w:r>
        <w:rPr>
          <w:rFonts w:hint="eastAsia" w:hAnsi="宋体"/>
          <w:color w:val="000000"/>
          <w:kern w:val="58"/>
          <w:sz w:val="21"/>
          <w:highlight w:val="none"/>
          <w:lang w:eastAsia="zh-CN"/>
        </w:rPr>
        <w:t>3）软件升级制作：</w:t>
      </w:r>
      <w:bookmarkStart w:id="5" w:name="_Hlk58595438"/>
      <w:r>
        <w:rPr>
          <w:rFonts w:hint="eastAsia" w:hAnsi="宋体"/>
          <w:color w:val="000000"/>
          <w:kern w:val="58"/>
          <w:sz w:val="21"/>
          <w:highlight w:val="none"/>
          <w:lang w:eastAsia="zh-CN"/>
        </w:rPr>
        <w:t>承包商应</w:t>
      </w:r>
      <w:bookmarkEnd w:id="5"/>
      <w:r>
        <w:rPr>
          <w:rFonts w:hint="eastAsia" w:hAnsi="宋体"/>
          <w:color w:val="000000"/>
          <w:kern w:val="58"/>
          <w:sz w:val="21"/>
          <w:highlight w:val="none"/>
          <w:lang w:eastAsia="zh-CN"/>
        </w:rPr>
        <w:t>进行综合监控系统软件升级制作，需满足本工程FAS、通信等系统的新增点位图元显示。</w:t>
      </w:r>
    </w:p>
    <w:p>
      <w:pPr>
        <w:pStyle w:val="5"/>
        <w:spacing w:line="360" w:lineRule="auto"/>
        <w:ind w:firstLine="420" w:firstLineChars="200"/>
        <w:rPr>
          <w:rFonts w:hint="eastAsia" w:hAnsi="宋体"/>
          <w:color w:val="000000"/>
          <w:kern w:val="58"/>
          <w:sz w:val="21"/>
          <w:highlight w:val="none"/>
          <w:lang w:eastAsia="zh-CN"/>
        </w:rPr>
      </w:pPr>
      <w:r>
        <w:rPr>
          <w:rFonts w:hint="eastAsia" w:hAnsi="宋体"/>
          <w:color w:val="000000"/>
          <w:kern w:val="58"/>
          <w:sz w:val="21"/>
          <w:highlight w:val="none"/>
          <w:lang w:eastAsia="zh-CN"/>
        </w:rPr>
        <w:t>4）系统接口：既有工程已建立通信、FAS、综合监控等系统接口，若既有接口不满足本工程新增点位需求，需由承包商进行接口扩容。</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val="en-US" w:eastAsia="zh-CN"/>
        </w:rPr>
        <w:t>5</w:t>
      </w:r>
      <w:r>
        <w:rPr>
          <w:rFonts w:hint="eastAsia" w:hAnsi="宋体"/>
          <w:color w:val="000000"/>
          <w:kern w:val="58"/>
          <w:sz w:val="21"/>
          <w:lang w:eastAsia="zh-CN"/>
        </w:rPr>
        <w:t>)火灾自动报警系统通电后，应按现行国家标准 GB4717（火灾报警控制器）的有关要 求对报警控制器进行下列功能检查：</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火灾报警自检功能；</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消音、复位功能；</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故障报警功能；</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火灾优先功能；</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报警记忆功能；</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电源自动转换和备用电源的自动充电功能；</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 xml:space="preserve">备用电源的欠压和过压报警功能。 </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val="en-US" w:eastAsia="zh-CN"/>
        </w:rPr>
        <w:t>6</w:t>
      </w:r>
      <w:r>
        <w:rPr>
          <w:rFonts w:hint="eastAsia" w:hAnsi="宋体"/>
          <w:color w:val="000000"/>
          <w:kern w:val="58"/>
          <w:sz w:val="21"/>
          <w:lang w:eastAsia="zh-CN"/>
        </w:rPr>
        <w:t xml:space="preserve">)检查火灾自动报警系统的主电源和备用电源，其容量应分别符合现行有关国家标准的要求，在备用电源连续充放电三次后，主备电源应能自动切换。 </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val="en-US" w:eastAsia="zh-CN"/>
        </w:rPr>
        <w:t>7</w:t>
      </w:r>
      <w:r>
        <w:rPr>
          <w:rFonts w:hint="eastAsia" w:hAnsi="宋体"/>
          <w:color w:val="000000"/>
          <w:kern w:val="58"/>
          <w:sz w:val="21"/>
          <w:lang w:eastAsia="zh-CN"/>
        </w:rPr>
        <w:t>)应采用专用的检查仪器对探测器逐个进行试验，其动作应准确无误。</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val="en-US" w:eastAsia="zh-CN"/>
        </w:rPr>
        <w:t>8</w:t>
      </w:r>
      <w:r>
        <w:rPr>
          <w:rFonts w:hint="eastAsia" w:hAnsi="宋体"/>
          <w:color w:val="000000"/>
          <w:kern w:val="58"/>
          <w:sz w:val="21"/>
          <w:lang w:eastAsia="zh-CN"/>
        </w:rPr>
        <w:t>)应分别用主备电源供电来检查该系统的各项监控及联动功能。</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val="en-US" w:eastAsia="zh-CN"/>
        </w:rPr>
        <w:t>9</w:t>
      </w:r>
      <w:r>
        <w:rPr>
          <w:rFonts w:hint="eastAsia" w:hAnsi="宋体"/>
          <w:color w:val="000000"/>
          <w:kern w:val="58"/>
          <w:sz w:val="21"/>
          <w:lang w:eastAsia="zh-CN"/>
        </w:rPr>
        <w:t>)应在完成系统连续运行 144 小时无故障测试，按照消防有关规范附录一填写调试报告。</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val="en-US" w:eastAsia="zh-CN"/>
        </w:rPr>
        <w:t>2</w:t>
      </w:r>
      <w:r>
        <w:rPr>
          <w:rFonts w:hint="eastAsia" w:hAnsi="宋体"/>
          <w:color w:val="000000"/>
          <w:kern w:val="58"/>
          <w:sz w:val="21"/>
          <w:lang w:eastAsia="zh-CN"/>
        </w:rPr>
        <w:t>.</w:t>
      </w:r>
      <w:r>
        <w:rPr>
          <w:rFonts w:hint="eastAsia" w:hAnsi="宋体"/>
          <w:color w:val="000000"/>
          <w:kern w:val="58"/>
          <w:sz w:val="21"/>
          <w:lang w:val="en-US" w:eastAsia="zh-CN"/>
        </w:rPr>
        <w:t>3</w:t>
      </w:r>
      <w:r>
        <w:rPr>
          <w:rFonts w:hint="eastAsia" w:hAnsi="宋体"/>
          <w:color w:val="000000"/>
          <w:kern w:val="58"/>
          <w:sz w:val="21"/>
          <w:lang w:eastAsia="zh-CN"/>
        </w:rPr>
        <w:t>.12.系统验收</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1)火灾自动报警系统首先必须通过监理组织的各项过程分布单项初验（包括隐蔽工程 等）。</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2)在系统设备安装完成后，须通过由各方参加（包括供货商在内）的安装验收。</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3)在配合供货商完成调试后，先经过系统站级功能验收，后参加系统整体功能验收。</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val="en-US" w:eastAsia="zh-CN"/>
        </w:rPr>
        <w:t>4</w:t>
      </w:r>
      <w:r>
        <w:rPr>
          <w:rFonts w:hint="eastAsia" w:hAnsi="宋体"/>
          <w:color w:val="000000"/>
          <w:kern w:val="58"/>
          <w:sz w:val="21"/>
          <w:lang w:eastAsia="zh-CN"/>
        </w:rPr>
        <w:t>)火灾自动报警系统竣工时，安装承包商应提交下列文件（包括但不限于）：</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竣工图；</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施工记录（包括隐蔽工程验收记录）；</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检验记录（包括绝缘电阻等测试记录）；</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调试记录（包括本系统单体设备的单调记录、本系统整体联调记录、被控设备联动单 调及联调记录）；</w:t>
      </w:r>
    </w:p>
    <w:p>
      <w:pPr>
        <w:pStyle w:val="5"/>
        <w:spacing w:line="360" w:lineRule="auto"/>
        <w:ind w:firstLine="420" w:firstLineChars="200"/>
        <w:rPr>
          <w:rFonts w:hint="eastAsia" w:hAnsi="宋体"/>
          <w:color w:val="000000"/>
          <w:kern w:val="58"/>
          <w:sz w:val="21"/>
          <w:highlight w:val="none"/>
          <w:lang w:eastAsia="zh-CN"/>
        </w:rPr>
      </w:pPr>
      <w:r>
        <w:rPr>
          <w:rFonts w:hint="eastAsia" w:hAnsi="宋体"/>
          <w:color w:val="000000"/>
          <w:kern w:val="58"/>
          <w:sz w:val="21"/>
          <w:highlight w:val="none"/>
          <w:lang w:eastAsia="zh-CN"/>
        </w:rPr>
        <w:t></w:t>
      </w:r>
      <w:r>
        <w:rPr>
          <w:rFonts w:hint="eastAsia" w:hAnsi="宋体"/>
          <w:color w:val="000000"/>
          <w:kern w:val="58"/>
          <w:sz w:val="21"/>
          <w:highlight w:val="none"/>
          <w:lang w:val="en-US" w:eastAsia="zh-CN"/>
        </w:rPr>
        <w:t>完工</w:t>
      </w:r>
      <w:r>
        <w:rPr>
          <w:rFonts w:hint="eastAsia" w:hAnsi="宋体"/>
          <w:color w:val="000000"/>
          <w:kern w:val="58"/>
          <w:sz w:val="21"/>
          <w:highlight w:val="none"/>
          <w:lang w:eastAsia="zh-CN"/>
        </w:rPr>
        <w:t>报告。</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val="en-US" w:eastAsia="zh-CN"/>
        </w:rPr>
        <w:t>2.4.</w:t>
      </w:r>
      <w:r>
        <w:rPr>
          <w:rFonts w:hint="eastAsia" w:hAnsi="宋体"/>
          <w:color w:val="000000"/>
          <w:kern w:val="58"/>
          <w:sz w:val="21"/>
          <w:lang w:eastAsia="zh-CN"/>
        </w:rPr>
        <w:t>通信系统技术要求</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val="en-US" w:eastAsia="zh-CN"/>
        </w:rPr>
        <w:t>2.4.</w:t>
      </w:r>
      <w:r>
        <w:rPr>
          <w:rFonts w:hint="eastAsia" w:hAnsi="宋体"/>
          <w:color w:val="000000"/>
          <w:kern w:val="58"/>
          <w:sz w:val="21"/>
          <w:lang w:eastAsia="zh-CN"/>
        </w:rPr>
        <w:t>1视频监控系统：</w:t>
      </w:r>
    </w:p>
    <w:p>
      <w:pPr>
        <w:pStyle w:val="5"/>
        <w:spacing w:line="360" w:lineRule="auto"/>
        <w:ind w:firstLine="420" w:firstLineChars="200"/>
        <w:rPr>
          <w:rFonts w:hint="eastAsia" w:hAnsi="宋体"/>
          <w:color w:val="000000"/>
          <w:kern w:val="58"/>
          <w:sz w:val="21"/>
          <w:highlight w:val="none"/>
        </w:rPr>
      </w:pPr>
      <w:r>
        <w:rPr>
          <w:rFonts w:hint="eastAsia" w:hAnsi="宋体"/>
          <w:color w:val="000000"/>
          <w:kern w:val="58"/>
          <w:sz w:val="21"/>
          <w:highlight w:val="none"/>
          <w:lang w:eastAsia="zh-CN"/>
        </w:rPr>
        <w:t>（1）</w:t>
      </w:r>
      <w:r>
        <w:rPr>
          <w:rFonts w:hint="eastAsia" w:hAnsi="宋体"/>
          <w:color w:val="000000"/>
          <w:kern w:val="58"/>
          <w:sz w:val="21"/>
          <w:highlight w:val="none"/>
          <w:lang w:val="en-US" w:eastAsia="zh-CN"/>
        </w:rPr>
        <w:t>固定式高清数字摄像机</w:t>
      </w:r>
      <w:r>
        <w:rPr>
          <w:rFonts w:hint="eastAsia" w:hAnsi="宋体"/>
          <w:color w:val="000000"/>
          <w:kern w:val="58"/>
          <w:sz w:val="21"/>
          <w:highlight w:val="none"/>
          <w:lang w:eastAsia="zh-CN"/>
        </w:rPr>
        <w:t>（</w:t>
      </w:r>
      <w:r>
        <w:rPr>
          <w:rFonts w:hint="eastAsia" w:hAnsi="宋体"/>
          <w:color w:val="000000"/>
          <w:kern w:val="58"/>
          <w:sz w:val="21"/>
          <w:highlight w:val="none"/>
          <w:lang w:val="en-US" w:eastAsia="zh-CN"/>
        </w:rPr>
        <w:t>枪机）</w:t>
      </w:r>
      <w:r>
        <w:rPr>
          <w:rFonts w:hint="eastAsia" w:hAnsi="宋体"/>
          <w:color w:val="000000"/>
          <w:kern w:val="58"/>
          <w:sz w:val="21"/>
          <w:highlight w:val="none"/>
        </w:rPr>
        <w:t>主要指标要求</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为保证工程实施质量和后续维护，满足以下技术参数或者性能要求。</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采用宽动态式彩色摄像机（带防护罩），并具有防尘、防潮功能。摄像机小巧坚固，应采用标准的镜座，可以适配各种型号的镜头，具有自动白电平平衡、应具有很好的逆光补差能力等性能，随机带安装附件（包括含防护罩等）。需与既有视频平台兼容，实现全功能接入。主要技术指标要求如下：</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1/1.8 inch或更大尺寸逐行扫描200万像素CMOS图像传感器</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最大分辨率1080P(1920*1080)最大30帧/秒</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前端存储：Micro SD，最高128GB</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1路告警输入，1路告警输出</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支持网络自适应，5％丢包网络环境下图像效果良好</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内置100M自适应单模光口（含光模块）</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10M/100M自适应以太网电口或BNC口</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支持9:16走廊模式</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满足长时间在±25％电压波动电网中工作</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工作环境-40℃~60℃</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摄像机最低照度0.001LUX（黑白模式下）</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镜头手动变焦、自动光圈</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焦距范围：3~16mm</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选用的防护罩为密闭型防护罩，防护罩内应具有自动排风功能，要求防护等级IP66。</w:t>
      </w:r>
    </w:p>
    <w:p>
      <w:pPr>
        <w:pStyle w:val="5"/>
        <w:spacing w:line="360" w:lineRule="auto"/>
        <w:ind w:firstLine="420" w:firstLineChars="200"/>
        <w:rPr>
          <w:rFonts w:hint="eastAsia" w:hAnsi="宋体"/>
          <w:color w:val="000000"/>
          <w:kern w:val="58"/>
          <w:sz w:val="21"/>
          <w:highlight w:val="yellow"/>
          <w:lang w:val="en-US" w:eastAsia="zh-CN"/>
        </w:rPr>
      </w:pPr>
      <w:r>
        <w:rPr>
          <w:rFonts w:hint="eastAsia" w:hAnsi="宋体"/>
          <w:color w:val="000000"/>
          <w:kern w:val="58"/>
          <w:sz w:val="21"/>
          <w:highlight w:val="none"/>
          <w:lang w:val="en-US" w:eastAsia="zh-CN"/>
        </w:rPr>
        <w:t>（2）高清半球摄像机</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1/1.8 inch逐行扫描200万像素CMOS图像传感器</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焦距范围：3.5~12mm，电动变焦，自动光圈</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最大分辨率1080P(1920*1080)最大30帧/秒</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自动红外滤片切换彩转黑，光学智能红外补光</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前端存储：Micro SD，最高128GB</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1路告警输入，1路告警输出</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具备音频接口</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支持网络自适应，5％丢包网络环境下图像效果良好，</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10M/100M自适应以太网电口或100M单模光口</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满足长时间在±25％电压波动电网中工作</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工作环境-30℃~60℃</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外壳防护能力IP66</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摄像机最低照度0.001LUX</w:t>
      </w:r>
    </w:p>
    <w:p>
      <w:pPr>
        <w:pStyle w:val="5"/>
        <w:spacing w:line="360" w:lineRule="auto"/>
        <w:ind w:firstLine="420" w:firstLineChars="200"/>
        <w:rPr>
          <w:rFonts w:hint="eastAsia" w:hAnsi="宋体"/>
          <w:color w:val="000000"/>
          <w:kern w:val="58"/>
          <w:sz w:val="21"/>
          <w:highlight w:val="yellow"/>
          <w:lang w:val="en-US" w:eastAsia="zh-CN"/>
        </w:rPr>
      </w:pPr>
      <w:r>
        <w:rPr>
          <w:rFonts w:hint="eastAsia" w:hAnsi="宋体"/>
          <w:color w:val="000000"/>
          <w:kern w:val="58"/>
          <w:sz w:val="21"/>
          <w:highlight w:val="none"/>
          <w:lang w:val="en-US" w:eastAsia="zh-CN"/>
        </w:rPr>
        <w:t>（3）室外高清网络球机</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1/3inch或更大尺寸逐行扫描200万像素CMOS图像传感器焦距范围：5.2~114.4mm，22倍光学变倍</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支持宽动态</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补光距离不低于150米。</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编码协议：H.265、H.264、MJPEG</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编码制式：1080P(1920*1080)最大30帧/秒</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音频输入输出接口</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前端存储：Micro SD，最高128GB</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水平速度：0.1°/s~200°/s，预置位速度：240°/s</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垂直速度：0.1°~120°/s，预置位速度：200°/s</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支持看守位、支持预置位巡航、轨迹巡航与录制巡航</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支持断电状态记忆功能。</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1路告警输入，1路告警输出</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内置100M/1000M自适应单模光口(FC)+10M/100M/1000M自适应以太网电口</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支持本地输出接口BNC</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满足长时间在±25％电压波动电网中工作</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支持网络自适应，5％丢包网络环境下图像效果良好，</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支持透雾功能</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工作温度-40℃~70℃</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防护等级IP66</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摄像机最低照度0.2LUX</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摄像机支持超级照度，最低照度可达：0.005LUX</w:t>
      </w:r>
    </w:p>
    <w:p>
      <w:pPr>
        <w:pStyle w:val="5"/>
        <w:spacing w:line="360" w:lineRule="auto"/>
        <w:ind w:firstLine="420" w:firstLineChars="200"/>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（4）交换机板卡扩容</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交换机型号48GP-S，尺寸400mm*415mm*40mm，接口配置48端口百兆、千兆以太网光接口（SFP），单板功率50W，交换容量96G，转发性能71.42Mpps，端口聚合8/128（成员、组），端口镜像4入/2出，配满48个光模块。</w:t>
      </w:r>
    </w:p>
    <w:p>
      <w:pPr>
        <w:pStyle w:val="5"/>
        <w:spacing w:line="360" w:lineRule="auto"/>
        <w:ind w:firstLine="420" w:firstLineChars="200"/>
        <w:rPr>
          <w:rFonts w:hint="eastAsia" w:hAnsi="宋体"/>
          <w:color w:val="000000"/>
          <w:kern w:val="58"/>
          <w:sz w:val="21"/>
          <w:highlight w:val="none"/>
          <w:lang w:val="en-US" w:eastAsia="zh-CN"/>
        </w:rPr>
      </w:pPr>
      <w:r>
        <w:rPr>
          <w:rFonts w:hint="eastAsia" w:hAnsi="宋体"/>
          <w:color w:val="000000"/>
          <w:kern w:val="58"/>
          <w:sz w:val="21"/>
          <w:highlight w:val="none"/>
        </w:rPr>
        <w:t>（</w:t>
      </w:r>
      <w:r>
        <w:rPr>
          <w:rFonts w:hint="eastAsia" w:hAnsi="宋体"/>
          <w:color w:val="000000"/>
          <w:kern w:val="58"/>
          <w:sz w:val="21"/>
          <w:highlight w:val="none"/>
          <w:lang w:val="en-US" w:eastAsia="zh-CN"/>
        </w:rPr>
        <w:t>5）存储硬盘</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DELL 4T 7.2K RPM </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近线 SAS 6Gbps 3.5英寸热插拔硬盘</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含硬盘托架</w:t>
      </w:r>
    </w:p>
    <w:p>
      <w:pPr>
        <w:pStyle w:val="5"/>
        <w:spacing w:line="360" w:lineRule="auto"/>
        <w:ind w:firstLine="420" w:firstLineChars="200"/>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（6）室外立杆</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室外球机立杆按长度4.5m设置，壁厚6 mm，上端直径≥76 mm，下端直径≥160mm，优质冷扎钢板，无缝焊接，热镀锌喷塑，含基础预埋件考虑。带防雷接地，定制1米×1米×1.5米深混凝土浇筑，10Ω防雷接地，控制机柜及基础定制暂定为 1000×600×450 mm，离地30cm安装，壁厚2 mm,丝印公安标志、字样及监控点位编号及警示标识，能放置UPS、光端机、光纤收发器及功放和检测设备等,含空气开关、避雷器、导轨等。吊杆要求坚固耐震动，日常工作中没有明显的图像抖动和晃动感，可伸缩，辅材包括横支架等，其中高架、室外及出入口吊杆要求达到抗风力12级。具体根据实际环境由用户确定。</w:t>
      </w:r>
    </w:p>
    <w:p>
      <w:pPr>
        <w:pStyle w:val="5"/>
        <w:spacing w:line="360" w:lineRule="auto"/>
        <w:ind w:firstLine="420" w:firstLineChars="200"/>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2.4.2广播系统主要指标要求</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 xml:space="preserve">(1)需与既有广播平台兼容，实现全功能接入。系统主要性能指标 </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 xml:space="preserve">1）频率特性：≤±2dB（40Hz～16kHz） </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 xml:space="preserve">2）谐波失真：≤2%（40Hz～16kHz） </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 xml:space="preserve">3）信噪比：≥70dB，话筒≥50 dB </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 xml:space="preserve">4）输出电压及方式：120V/100V 平衡式定压输出 </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 xml:space="preserve">5）输入过激励能力：≥20dB </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 xml:space="preserve">6）防卫度：≥50 dB </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 xml:space="preserve">7）输出电压调整率：400Hz≤1dB   4000Hz≤1dB </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 xml:space="preserve">8）输出总功率：≥1.0kW/站 </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 xml:space="preserve">9）负载区：≥8 路 </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 xml:space="preserve">10）广播系统的声压级＞80dB，最高高于环境噪声 15dB </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 xml:space="preserve">11）语言清晰度≥90%（主观评价）&gt;0.5（RASTI 法） </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 xml:space="preserve">12）设备工作时间：连续 </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 xml:space="preserve">13）系统主要设备平均无故障时间（MTBF）≥10000 小时。 </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14）广播系统设备需满足兼做消防广播的要求并满足 GB50116-2013 规范要求。</w:t>
      </w:r>
    </w:p>
    <w:p>
      <w:pPr>
        <w:pStyle w:val="5"/>
        <w:spacing w:line="360" w:lineRule="auto"/>
        <w:ind w:firstLine="420" w:firstLineChars="200"/>
        <w:rPr>
          <w:rFonts w:hint="eastAsia" w:hAnsi="宋体"/>
          <w:color w:val="000000"/>
          <w:kern w:val="58"/>
          <w:sz w:val="21"/>
          <w:highlight w:val="none"/>
          <w:lang w:val="en-US" w:eastAsia="zh-CN"/>
        </w:rPr>
      </w:pPr>
      <w:bookmarkStart w:id="6" w:name="2.4.2_扬声器"/>
      <w:bookmarkEnd w:id="6"/>
      <w:bookmarkStart w:id="7" w:name="_bookmark352"/>
      <w:bookmarkEnd w:id="7"/>
      <w:r>
        <w:rPr>
          <w:rFonts w:hint="eastAsia" w:hAnsi="宋体"/>
          <w:color w:val="000000"/>
          <w:kern w:val="58"/>
          <w:sz w:val="21"/>
          <w:highlight w:val="none"/>
          <w:lang w:val="en-US" w:eastAsia="zh-CN"/>
        </w:rPr>
        <w:t>(2)扬声器</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 xml:space="preserve">1）输入方式：120V/100V 平衡式输入 </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 xml:space="preserve">2）额定输出功率：6W（具有 3W 抽头） </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 xml:space="preserve">3）频响：80Hz～18kHz </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 xml:space="preserve">4）灵敏度：≥95dB  </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 xml:space="preserve">5）外护罩（或箱体）应原厂标配，防尘，防潮。 </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(3)无线通信系统</w:t>
      </w:r>
    </w:p>
    <w:p>
      <w:pPr>
        <w:pStyle w:val="5"/>
        <w:spacing w:line="360" w:lineRule="auto"/>
        <w:ind w:firstLine="420" w:firstLineChars="200"/>
        <w:rPr>
          <w:rFonts w:hint="eastAsia" w:hAnsi="宋体"/>
          <w:color w:val="000000"/>
          <w:kern w:val="58"/>
          <w:sz w:val="21"/>
          <w:lang w:val="en-US" w:eastAsia="zh-CN"/>
        </w:rPr>
      </w:pPr>
    </w:p>
    <w:p>
      <w:pPr>
        <w:pStyle w:val="5"/>
        <w:spacing w:line="360" w:lineRule="auto"/>
        <w:ind w:firstLine="420" w:firstLineChars="200"/>
        <w:rPr>
          <w:rFonts w:hint="eastAsia" w:hAnsi="宋体"/>
          <w:color w:val="000000"/>
          <w:kern w:val="58"/>
          <w:sz w:val="21"/>
          <w:lang w:val="en-US" w:eastAsia="zh-CN"/>
        </w:rPr>
      </w:pPr>
    </w:p>
    <w:tbl>
      <w:tblPr>
        <w:tblStyle w:val="7"/>
        <w:tblpPr w:leftFromText="180" w:rightFromText="180" w:vertAnchor="text" w:horzAnchor="page" w:tblpX="1922" w:tblpY="462"/>
        <w:tblOverlap w:val="never"/>
        <w:tblW w:w="8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748"/>
        <w:gridCol w:w="1418"/>
        <w:gridCol w:w="850"/>
        <w:gridCol w:w="992"/>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1" w:hRule="atLeast"/>
        </w:trPr>
        <w:tc>
          <w:tcPr>
            <w:tcW w:w="770" w:type="dxa"/>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序号</w:t>
            </w:r>
          </w:p>
        </w:tc>
        <w:tc>
          <w:tcPr>
            <w:tcW w:w="1748" w:type="dxa"/>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名称</w:t>
            </w:r>
          </w:p>
        </w:tc>
        <w:tc>
          <w:tcPr>
            <w:tcW w:w="1418" w:type="dxa"/>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型号</w:t>
            </w:r>
          </w:p>
        </w:tc>
        <w:tc>
          <w:tcPr>
            <w:tcW w:w="850" w:type="dxa"/>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单位</w:t>
            </w:r>
          </w:p>
        </w:tc>
        <w:tc>
          <w:tcPr>
            <w:tcW w:w="992" w:type="dxa"/>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数量</w:t>
            </w:r>
          </w:p>
        </w:tc>
        <w:tc>
          <w:tcPr>
            <w:tcW w:w="2552" w:type="dxa"/>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6" w:hRule="atLeast"/>
        </w:trPr>
        <w:tc>
          <w:tcPr>
            <w:tcW w:w="770" w:type="dxa"/>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1</w:t>
            </w:r>
          </w:p>
        </w:tc>
        <w:tc>
          <w:tcPr>
            <w:tcW w:w="1748" w:type="dxa"/>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rPr>
              <w:t>室内全向天线</w:t>
            </w:r>
          </w:p>
        </w:tc>
        <w:tc>
          <w:tcPr>
            <w:tcW w:w="1418" w:type="dxa"/>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ALK910</w:t>
            </w:r>
          </w:p>
        </w:tc>
        <w:tc>
          <w:tcPr>
            <w:tcW w:w="850" w:type="dxa"/>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个</w:t>
            </w:r>
          </w:p>
        </w:tc>
        <w:tc>
          <w:tcPr>
            <w:tcW w:w="992" w:type="dxa"/>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5</w:t>
            </w:r>
          </w:p>
        </w:tc>
        <w:tc>
          <w:tcPr>
            <w:tcW w:w="2552" w:type="dxa"/>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天线安装需要配备固定支架及螺杆（公安）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47" w:hRule="atLeast"/>
        </w:trPr>
        <w:tc>
          <w:tcPr>
            <w:tcW w:w="770" w:type="dxa"/>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2</w:t>
            </w:r>
          </w:p>
        </w:tc>
        <w:tc>
          <w:tcPr>
            <w:tcW w:w="1748" w:type="dxa"/>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耦合器</w:t>
            </w:r>
          </w:p>
        </w:tc>
        <w:tc>
          <w:tcPr>
            <w:tcW w:w="1418" w:type="dxa"/>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ALK000-48</w:t>
            </w:r>
          </w:p>
        </w:tc>
        <w:tc>
          <w:tcPr>
            <w:tcW w:w="850" w:type="dxa"/>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个</w:t>
            </w:r>
          </w:p>
        </w:tc>
        <w:tc>
          <w:tcPr>
            <w:tcW w:w="992" w:type="dxa"/>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1</w:t>
            </w:r>
          </w:p>
        </w:tc>
        <w:tc>
          <w:tcPr>
            <w:tcW w:w="2552" w:type="dxa"/>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天线安装需要配备固定支架及螺杆（公安）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5" w:hRule="atLeast"/>
        </w:trPr>
        <w:tc>
          <w:tcPr>
            <w:tcW w:w="770" w:type="dxa"/>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3</w:t>
            </w:r>
          </w:p>
        </w:tc>
        <w:tc>
          <w:tcPr>
            <w:tcW w:w="1748" w:type="dxa"/>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功分器</w:t>
            </w:r>
          </w:p>
        </w:tc>
        <w:tc>
          <w:tcPr>
            <w:tcW w:w="1418" w:type="dxa"/>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ALK000-02</w:t>
            </w:r>
          </w:p>
        </w:tc>
        <w:tc>
          <w:tcPr>
            <w:tcW w:w="850" w:type="dxa"/>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个</w:t>
            </w:r>
          </w:p>
        </w:tc>
        <w:tc>
          <w:tcPr>
            <w:tcW w:w="992" w:type="dxa"/>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2</w:t>
            </w:r>
          </w:p>
        </w:tc>
        <w:tc>
          <w:tcPr>
            <w:tcW w:w="2552" w:type="dxa"/>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天线安装需要配备固定支架及螺杆（公安）</w:t>
            </w:r>
          </w:p>
        </w:tc>
      </w:tr>
    </w:tbl>
    <w:p>
      <w:pPr>
        <w:pStyle w:val="5"/>
        <w:spacing w:line="360" w:lineRule="auto"/>
        <w:ind w:firstLine="420" w:firstLineChars="200"/>
        <w:rPr>
          <w:rFonts w:hint="eastAsia" w:hAnsi="宋体"/>
          <w:color w:val="000000"/>
          <w:kern w:val="58"/>
          <w:sz w:val="21"/>
          <w:lang w:eastAsia="zh-CN"/>
        </w:rPr>
      </w:pPr>
    </w:p>
    <w:p>
      <w:pPr>
        <w:pStyle w:val="5"/>
        <w:spacing w:line="360" w:lineRule="auto"/>
        <w:ind w:firstLine="420" w:firstLineChars="200"/>
        <w:rPr>
          <w:rFonts w:hint="eastAsia" w:hAnsi="宋体"/>
          <w:color w:val="000000"/>
          <w:kern w:val="58"/>
          <w:sz w:val="21"/>
          <w:highlight w:val="green"/>
        </w:rPr>
      </w:pPr>
    </w:p>
    <w:p>
      <w:pPr>
        <w:pStyle w:val="5"/>
        <w:spacing w:line="360" w:lineRule="auto"/>
        <w:ind w:firstLine="420" w:firstLineChars="200"/>
        <w:rPr>
          <w:rFonts w:hint="eastAsia" w:hAnsi="宋体"/>
          <w:color w:val="000000"/>
          <w:kern w:val="58"/>
          <w:sz w:val="21"/>
          <w:highlight w:val="green"/>
        </w:rPr>
      </w:pPr>
    </w:p>
    <w:p>
      <w:pPr>
        <w:pStyle w:val="5"/>
        <w:spacing w:line="360" w:lineRule="auto"/>
        <w:ind w:firstLine="420" w:firstLineChars="200"/>
        <w:rPr>
          <w:rFonts w:hint="eastAsia" w:hAnsi="宋体"/>
          <w:color w:val="000000"/>
          <w:kern w:val="58"/>
          <w:sz w:val="21"/>
          <w:highlight w:val="green"/>
        </w:rPr>
      </w:pPr>
    </w:p>
    <w:p>
      <w:pPr>
        <w:pStyle w:val="5"/>
        <w:spacing w:line="360" w:lineRule="auto"/>
        <w:ind w:firstLine="420" w:firstLineChars="200"/>
        <w:rPr>
          <w:rFonts w:hint="eastAsia" w:hAnsi="宋体"/>
          <w:color w:val="000000"/>
          <w:kern w:val="58"/>
          <w:sz w:val="21"/>
          <w:highlight w:val="green"/>
        </w:rPr>
      </w:pPr>
    </w:p>
    <w:p>
      <w:pPr>
        <w:pStyle w:val="5"/>
        <w:spacing w:line="360" w:lineRule="auto"/>
        <w:ind w:firstLine="420" w:firstLineChars="200"/>
        <w:rPr>
          <w:rFonts w:hint="eastAsia" w:hAnsi="宋体"/>
          <w:color w:val="000000"/>
          <w:kern w:val="58"/>
          <w:sz w:val="21"/>
          <w:highlight w:val="green"/>
        </w:rPr>
      </w:pPr>
    </w:p>
    <w:p>
      <w:pPr>
        <w:pStyle w:val="5"/>
        <w:spacing w:line="360" w:lineRule="auto"/>
        <w:ind w:firstLine="420" w:firstLineChars="200"/>
        <w:rPr>
          <w:rFonts w:hint="eastAsia" w:hAnsi="宋体"/>
          <w:color w:val="000000"/>
          <w:kern w:val="58"/>
          <w:sz w:val="21"/>
          <w:highlight w:val="none"/>
        </w:rPr>
      </w:pPr>
      <w:r>
        <w:rPr>
          <w:rFonts w:hint="eastAsia" w:hAnsi="宋体"/>
          <w:color w:val="000000"/>
          <w:kern w:val="58"/>
          <w:sz w:val="21"/>
          <w:highlight w:val="none"/>
        </w:rPr>
        <w:t>1）室内全向天线</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ALK910室内全向天线，吸顶式螺母板固定于天花板安装，宽频带，低驻波，小体积、低剖面，外形美观。</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性能指标如下：</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工作频段： 350MHz ～370MHz</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增    益： ≥2dBi</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驻 波 比： ≤ 1.5</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阻    抗： 50 Ω</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极化方式： 垂直</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功率容量： 100 W</w:t>
      </w:r>
    </w:p>
    <w:p>
      <w:pPr>
        <w:pStyle w:val="5"/>
        <w:spacing w:line="360" w:lineRule="auto"/>
        <w:ind w:firstLine="420" w:firstLineChars="200"/>
        <w:rPr>
          <w:rFonts w:hint="eastAsia" w:hAnsi="宋体"/>
          <w:color w:val="000000"/>
          <w:kern w:val="58"/>
          <w:sz w:val="21"/>
          <w:highlight w:val="none"/>
          <w:lang w:eastAsia="zh-CN"/>
        </w:rPr>
      </w:pPr>
      <w:bookmarkStart w:id="8" w:name="_Toc6562990"/>
      <w:r>
        <w:rPr>
          <w:rFonts w:hint="eastAsia" w:hAnsi="宋体"/>
          <w:color w:val="000000"/>
          <w:kern w:val="58"/>
          <w:sz w:val="21"/>
          <w:highlight w:val="none"/>
          <w:lang w:eastAsia="zh-CN"/>
        </w:rPr>
        <w:t>2）耦合器</w:t>
      </w:r>
      <w:bookmarkEnd w:id="8"/>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ALK000-48耦合器，高定向性、高可靠性，频带宽、驻波比小，隔离度高、插入损耗小。</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性能指标如下：</w:t>
      </w:r>
    </w:p>
    <w:tbl>
      <w:tblPr>
        <w:tblStyle w:val="7"/>
        <w:tblW w:w="900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1"/>
        <w:gridCol w:w="2305"/>
        <w:gridCol w:w="1739"/>
        <w:gridCol w:w="1739"/>
        <w:gridCol w:w="17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1"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序 号</w:t>
            </w:r>
          </w:p>
        </w:tc>
        <w:tc>
          <w:tcPr>
            <w:tcW w:w="2305"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项     目</w:t>
            </w:r>
          </w:p>
        </w:tc>
        <w:tc>
          <w:tcPr>
            <w:tcW w:w="1739"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10dB</w:t>
            </w:r>
          </w:p>
        </w:tc>
        <w:tc>
          <w:tcPr>
            <w:tcW w:w="1739"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6dB</w:t>
            </w:r>
          </w:p>
        </w:tc>
        <w:tc>
          <w:tcPr>
            <w:tcW w:w="1739"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15dB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1"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1</w:t>
            </w:r>
          </w:p>
        </w:tc>
        <w:tc>
          <w:tcPr>
            <w:tcW w:w="2305"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频率（MHz）</w:t>
            </w:r>
          </w:p>
        </w:tc>
        <w:tc>
          <w:tcPr>
            <w:tcW w:w="1739"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300~450</w:t>
            </w:r>
          </w:p>
        </w:tc>
        <w:tc>
          <w:tcPr>
            <w:tcW w:w="1739"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300~450</w:t>
            </w:r>
          </w:p>
        </w:tc>
        <w:tc>
          <w:tcPr>
            <w:tcW w:w="1739"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300~450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1"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2</w:t>
            </w:r>
          </w:p>
        </w:tc>
        <w:tc>
          <w:tcPr>
            <w:tcW w:w="2305"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阻抗</w:t>
            </w:r>
          </w:p>
        </w:tc>
        <w:tc>
          <w:tcPr>
            <w:tcW w:w="1739"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50Ω</w:t>
            </w:r>
          </w:p>
        </w:tc>
        <w:tc>
          <w:tcPr>
            <w:tcW w:w="1739"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50Ω</w:t>
            </w:r>
          </w:p>
        </w:tc>
        <w:tc>
          <w:tcPr>
            <w:tcW w:w="1739"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50Ω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1"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3</w:t>
            </w:r>
          </w:p>
        </w:tc>
        <w:tc>
          <w:tcPr>
            <w:tcW w:w="2305"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插入损耗（dB）</w:t>
            </w:r>
          </w:p>
        </w:tc>
        <w:tc>
          <w:tcPr>
            <w:tcW w:w="1739"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 1.0</w:t>
            </w:r>
          </w:p>
        </w:tc>
        <w:tc>
          <w:tcPr>
            <w:tcW w:w="1739"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 1.8</w:t>
            </w:r>
          </w:p>
        </w:tc>
        <w:tc>
          <w:tcPr>
            <w:tcW w:w="1739"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 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1"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4</w:t>
            </w:r>
          </w:p>
        </w:tc>
        <w:tc>
          <w:tcPr>
            <w:tcW w:w="2305"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电压驻波比</w:t>
            </w:r>
          </w:p>
        </w:tc>
        <w:tc>
          <w:tcPr>
            <w:tcW w:w="1739"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 1.5</w:t>
            </w:r>
          </w:p>
        </w:tc>
        <w:tc>
          <w:tcPr>
            <w:tcW w:w="1739"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 1.5</w:t>
            </w:r>
          </w:p>
        </w:tc>
        <w:tc>
          <w:tcPr>
            <w:tcW w:w="1739"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 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1"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5</w:t>
            </w:r>
          </w:p>
        </w:tc>
        <w:tc>
          <w:tcPr>
            <w:tcW w:w="2305"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接头类型</w:t>
            </w:r>
          </w:p>
        </w:tc>
        <w:tc>
          <w:tcPr>
            <w:tcW w:w="1739"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N型K头</w:t>
            </w:r>
          </w:p>
        </w:tc>
        <w:tc>
          <w:tcPr>
            <w:tcW w:w="1739"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N型K头</w:t>
            </w:r>
          </w:p>
        </w:tc>
        <w:tc>
          <w:tcPr>
            <w:tcW w:w="1739"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N型K头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1"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6</w:t>
            </w:r>
          </w:p>
        </w:tc>
        <w:tc>
          <w:tcPr>
            <w:tcW w:w="2305"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功率容量</w:t>
            </w:r>
          </w:p>
        </w:tc>
        <w:tc>
          <w:tcPr>
            <w:tcW w:w="1739"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100W</w:t>
            </w:r>
          </w:p>
        </w:tc>
        <w:tc>
          <w:tcPr>
            <w:tcW w:w="1739"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100W</w:t>
            </w:r>
          </w:p>
        </w:tc>
        <w:tc>
          <w:tcPr>
            <w:tcW w:w="1739"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100W</w:t>
            </w:r>
          </w:p>
        </w:tc>
      </w:tr>
    </w:tbl>
    <w:p>
      <w:pPr>
        <w:pStyle w:val="5"/>
        <w:spacing w:line="360" w:lineRule="auto"/>
        <w:ind w:firstLine="420" w:firstLineChars="200"/>
        <w:rPr>
          <w:rFonts w:hint="eastAsia" w:hAnsi="宋体"/>
          <w:color w:val="000000"/>
          <w:kern w:val="58"/>
          <w:sz w:val="21"/>
          <w:highlight w:val="none"/>
          <w:lang w:eastAsia="zh-CN"/>
        </w:rPr>
      </w:pPr>
      <w:bookmarkStart w:id="9" w:name="_Toc6562991"/>
      <w:r>
        <w:rPr>
          <w:rFonts w:hint="eastAsia" w:hAnsi="宋体"/>
          <w:color w:val="000000"/>
          <w:kern w:val="58"/>
          <w:sz w:val="21"/>
          <w:highlight w:val="none"/>
          <w:lang w:eastAsia="zh-CN"/>
        </w:rPr>
        <w:t>3）功分器</w:t>
      </w:r>
      <w:bookmarkEnd w:id="9"/>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功分器，频带宽、端口隔离度高，驻波比小、插损低，平坦度好。</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性能指标如下：</w:t>
      </w:r>
    </w:p>
    <w:tbl>
      <w:tblPr>
        <w:tblStyle w:val="7"/>
        <w:tblW w:w="900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3"/>
        <w:gridCol w:w="2663"/>
        <w:gridCol w:w="2452"/>
        <w:gridCol w:w="26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63"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序 号</w:t>
            </w:r>
          </w:p>
        </w:tc>
        <w:tc>
          <w:tcPr>
            <w:tcW w:w="2663"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项     目</w:t>
            </w:r>
          </w:p>
        </w:tc>
        <w:tc>
          <w:tcPr>
            <w:tcW w:w="2452"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二功分器</w:t>
            </w:r>
          </w:p>
        </w:tc>
        <w:tc>
          <w:tcPr>
            <w:tcW w:w="2625"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四功分器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63"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1</w:t>
            </w:r>
          </w:p>
        </w:tc>
        <w:tc>
          <w:tcPr>
            <w:tcW w:w="2663"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频率（MHz）</w:t>
            </w:r>
          </w:p>
        </w:tc>
        <w:tc>
          <w:tcPr>
            <w:tcW w:w="2452"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300~450</w:t>
            </w:r>
          </w:p>
        </w:tc>
        <w:tc>
          <w:tcPr>
            <w:tcW w:w="2625"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300~450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63"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2</w:t>
            </w:r>
          </w:p>
        </w:tc>
        <w:tc>
          <w:tcPr>
            <w:tcW w:w="2663"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阻抗</w:t>
            </w:r>
          </w:p>
        </w:tc>
        <w:tc>
          <w:tcPr>
            <w:tcW w:w="2452"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50Ω</w:t>
            </w:r>
          </w:p>
        </w:tc>
        <w:tc>
          <w:tcPr>
            <w:tcW w:w="2625"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50Ω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63"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3</w:t>
            </w:r>
          </w:p>
        </w:tc>
        <w:tc>
          <w:tcPr>
            <w:tcW w:w="2663"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插入损耗（dB）</w:t>
            </w:r>
          </w:p>
        </w:tc>
        <w:tc>
          <w:tcPr>
            <w:tcW w:w="2452"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 3.5</w:t>
            </w:r>
          </w:p>
        </w:tc>
        <w:tc>
          <w:tcPr>
            <w:tcW w:w="2625"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 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63"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4</w:t>
            </w:r>
          </w:p>
        </w:tc>
        <w:tc>
          <w:tcPr>
            <w:tcW w:w="2663"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电压驻波比</w:t>
            </w:r>
          </w:p>
        </w:tc>
        <w:tc>
          <w:tcPr>
            <w:tcW w:w="2452"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 1.5</w:t>
            </w:r>
          </w:p>
        </w:tc>
        <w:tc>
          <w:tcPr>
            <w:tcW w:w="2625"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 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63"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5</w:t>
            </w:r>
          </w:p>
        </w:tc>
        <w:tc>
          <w:tcPr>
            <w:tcW w:w="2663"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接头类型</w:t>
            </w:r>
          </w:p>
        </w:tc>
        <w:tc>
          <w:tcPr>
            <w:tcW w:w="2452"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N型K头</w:t>
            </w:r>
          </w:p>
        </w:tc>
        <w:tc>
          <w:tcPr>
            <w:tcW w:w="2625"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N型K头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63"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6</w:t>
            </w:r>
          </w:p>
        </w:tc>
        <w:tc>
          <w:tcPr>
            <w:tcW w:w="2663"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功率容量</w:t>
            </w:r>
          </w:p>
        </w:tc>
        <w:tc>
          <w:tcPr>
            <w:tcW w:w="2452"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100W</w:t>
            </w:r>
          </w:p>
        </w:tc>
        <w:tc>
          <w:tcPr>
            <w:tcW w:w="2625" w:type="dxa"/>
            <w:vAlign w:val="center"/>
          </w:tcPr>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100W</w:t>
            </w:r>
          </w:p>
        </w:tc>
      </w:tr>
    </w:tbl>
    <w:p>
      <w:pPr>
        <w:pStyle w:val="5"/>
        <w:spacing w:line="360" w:lineRule="auto"/>
        <w:ind w:firstLine="420" w:firstLineChars="200"/>
        <w:rPr>
          <w:rFonts w:hint="eastAsia" w:hAnsi="宋体"/>
          <w:color w:val="000000"/>
          <w:kern w:val="58"/>
          <w:sz w:val="21"/>
          <w:lang w:eastAsia="zh-CN"/>
        </w:rPr>
      </w:pP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val="en-US" w:eastAsia="zh-CN"/>
        </w:rPr>
        <w:t>2.5</w:t>
      </w:r>
      <w:r>
        <w:rPr>
          <w:rFonts w:hint="eastAsia" w:hAnsi="宋体"/>
          <w:color w:val="000000"/>
          <w:kern w:val="58"/>
          <w:sz w:val="21"/>
          <w:lang w:eastAsia="zh-CN"/>
        </w:rPr>
        <w:t>.导向标识</w:t>
      </w:r>
      <w:r>
        <w:rPr>
          <w:rFonts w:hint="eastAsia" w:hAnsi="宋体"/>
          <w:color w:val="000000"/>
          <w:kern w:val="58"/>
          <w:sz w:val="21"/>
          <w:lang w:val="en-US" w:eastAsia="zh-CN"/>
        </w:rPr>
        <w:t>及综合资讯图</w:t>
      </w:r>
      <w:r>
        <w:rPr>
          <w:rFonts w:hint="eastAsia" w:hAnsi="宋体"/>
          <w:color w:val="000000"/>
          <w:kern w:val="58"/>
          <w:sz w:val="21"/>
          <w:lang w:eastAsia="zh-CN"/>
        </w:rPr>
        <w:t>安装技术要求</w:t>
      </w:r>
    </w:p>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2.5.1、导向标识</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1)安装说明</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悬吊式：标识牌底部距地高度 2500mm，与墙面最小距离为 150mm。吊装于吊顶上方， 与吊顶内预留的预埋件稳固连接,与出口安全标志间距 100mm，下表面平齐。</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嵌墙式：标识牌大部分与墙面模数一致（除另注明外），不影响装饰整体效果。标识 牌与结构墙面上的龙骨或预埋件稳固连接。</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落地式：牌体与地面结构预埋件稳固连接。</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粘贴式：根据粘贴的实际情况具体分析（除另有说明外）。粘贴于玻璃、铝板等装饰 面上。</w:t>
      </w:r>
    </w:p>
    <w:p>
      <w:pPr>
        <w:pStyle w:val="5"/>
        <w:spacing w:line="360" w:lineRule="auto"/>
        <w:ind w:firstLine="420" w:firstLineChars="200"/>
        <w:rPr>
          <w:rFonts w:hint="eastAsia" w:hAnsi="宋体"/>
          <w:color w:val="000000"/>
          <w:kern w:val="58"/>
          <w:sz w:val="21"/>
          <w:lang w:eastAsia="zh-CN"/>
        </w:rPr>
      </w:pPr>
      <w:r>
        <w:rPr>
          <w:rFonts w:hint="eastAsia" w:hAnsi="宋体"/>
          <w:color w:val="000000"/>
          <w:kern w:val="58"/>
          <w:sz w:val="21"/>
          <w:lang w:eastAsia="zh-CN"/>
        </w:rPr>
        <w:t>吊挂导向牌安装前需用等比例大小 KT 板试挂，由设计确认方可正式吊挂安装。</w:t>
      </w:r>
    </w:p>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2）有源导向技术要求及标准</w:t>
      </w:r>
    </w:p>
    <w:p>
      <w:pPr>
        <w:pStyle w:val="5"/>
        <w:spacing w:line="360" w:lineRule="auto"/>
        <w:ind w:firstLine="420" w:firstLineChars="200"/>
        <w:rPr>
          <w:rFonts w:hint="eastAsia" w:hAnsi="宋体"/>
          <w:color w:val="000000"/>
          <w:kern w:val="58"/>
          <w:sz w:val="21"/>
          <w:highlight w:val="none"/>
          <w:lang w:eastAsia="zh-CN"/>
        </w:rPr>
      </w:pPr>
      <w:r>
        <w:rPr>
          <w:rFonts w:hint="eastAsia" w:hAnsi="宋体"/>
          <w:color w:val="000000"/>
          <w:kern w:val="58"/>
          <w:sz w:val="21"/>
          <w:highlight w:val="none"/>
          <w:lang w:val="en-US" w:eastAsia="zh-CN"/>
        </w:rPr>
        <w:t>（1）数量：</w:t>
      </w:r>
      <w:r>
        <w:rPr>
          <w:rFonts w:hint="eastAsia" w:hAnsi="宋体"/>
          <w:color w:val="000000"/>
          <w:kern w:val="58"/>
          <w:sz w:val="21"/>
          <w:highlight w:val="none"/>
          <w:lang w:eastAsia="zh-CN"/>
        </w:rPr>
        <w:t>3米板14块，1.5米板8块</w:t>
      </w:r>
      <w:r>
        <w:rPr>
          <w:rFonts w:hint="eastAsia" w:hAnsi="宋体"/>
          <w:color w:val="000000"/>
          <w:kern w:val="58"/>
          <w:sz w:val="21"/>
          <w:highlight w:val="none"/>
          <w:lang w:eastAsia="zh-CN"/>
        </w:rPr>
        <w:br w:type="textWrapping"/>
      </w:r>
      <w:r>
        <w:rPr>
          <w:rFonts w:hint="eastAsia" w:hAnsi="宋体"/>
          <w:color w:val="000000"/>
          <w:kern w:val="58"/>
          <w:sz w:val="21"/>
          <w:highlight w:val="none"/>
          <w:lang w:val="en-US" w:eastAsia="zh-CN"/>
        </w:rPr>
        <w:t>a.</w:t>
      </w:r>
      <w:r>
        <w:rPr>
          <w:rFonts w:hint="eastAsia" w:hAnsi="宋体"/>
          <w:color w:val="000000"/>
          <w:kern w:val="58"/>
          <w:sz w:val="21"/>
          <w:highlight w:val="none"/>
          <w:lang w:eastAsia="zh-CN"/>
        </w:rPr>
        <w:t>2个3米有源导向为新增（为4块版面），需要接电，且需要配套LED灯源、吊杆、电线等配套材料。</w:t>
      </w:r>
      <w:r>
        <w:rPr>
          <w:rFonts w:hint="eastAsia" w:hAnsi="宋体"/>
          <w:color w:val="000000"/>
          <w:kern w:val="58"/>
          <w:sz w:val="21"/>
          <w:highlight w:val="none"/>
          <w:lang w:eastAsia="zh-CN"/>
        </w:rPr>
        <w:br w:type="textWrapping"/>
      </w:r>
      <w:r>
        <w:rPr>
          <w:rFonts w:hint="eastAsia" w:hAnsi="宋体"/>
          <w:color w:val="000000"/>
          <w:kern w:val="58"/>
          <w:sz w:val="21"/>
          <w:highlight w:val="none"/>
          <w:lang w:val="en-US" w:eastAsia="zh-CN"/>
        </w:rPr>
        <w:t>b.</w:t>
      </w:r>
      <w:r>
        <w:rPr>
          <w:rFonts w:hint="eastAsia" w:hAnsi="宋体"/>
          <w:color w:val="000000"/>
          <w:kern w:val="58"/>
          <w:sz w:val="21"/>
          <w:highlight w:val="none"/>
          <w:lang w:eastAsia="zh-CN"/>
        </w:rPr>
        <w:t>其余10个3米板均为更换</w:t>
      </w:r>
      <w:r>
        <w:rPr>
          <w:rFonts w:hint="eastAsia" w:hAnsi="宋体"/>
          <w:color w:val="000000"/>
          <w:kern w:val="58"/>
          <w:sz w:val="21"/>
          <w:highlight w:val="none"/>
          <w:lang w:val="en-US" w:eastAsia="zh-CN"/>
        </w:rPr>
        <w:t>优化</w:t>
      </w:r>
      <w:r>
        <w:rPr>
          <w:rFonts w:hint="eastAsia" w:hAnsi="宋体"/>
          <w:color w:val="000000"/>
          <w:kern w:val="58"/>
          <w:sz w:val="21"/>
          <w:highlight w:val="none"/>
          <w:lang w:eastAsia="zh-CN"/>
        </w:rPr>
        <w:t>版面，无需接电。</w:t>
      </w:r>
      <w:r>
        <w:rPr>
          <w:rFonts w:hint="eastAsia" w:hAnsi="宋体"/>
          <w:color w:val="000000"/>
          <w:kern w:val="58"/>
          <w:sz w:val="21"/>
          <w:highlight w:val="none"/>
          <w:lang w:eastAsia="zh-CN"/>
        </w:rPr>
        <w:br w:type="textWrapping"/>
      </w:r>
      <w:r>
        <w:rPr>
          <w:rFonts w:hint="eastAsia" w:hAnsi="宋体"/>
          <w:color w:val="000000"/>
          <w:kern w:val="58"/>
          <w:sz w:val="21"/>
          <w:highlight w:val="none"/>
          <w:lang w:val="en-US" w:eastAsia="zh-CN"/>
        </w:rPr>
        <w:t>d.</w:t>
      </w:r>
      <w:r>
        <w:rPr>
          <w:rFonts w:hint="eastAsia" w:hAnsi="宋体"/>
          <w:color w:val="000000"/>
          <w:kern w:val="58"/>
          <w:sz w:val="21"/>
          <w:highlight w:val="none"/>
          <w:lang w:eastAsia="zh-CN"/>
        </w:rPr>
        <w:t>1个1.5米有源导向为新增（为2块版面），需要接电，且需要配套LED灯源、吊杆、电线等配套材料。</w:t>
      </w:r>
      <w:r>
        <w:rPr>
          <w:rFonts w:hint="eastAsia" w:hAnsi="宋体"/>
          <w:color w:val="000000"/>
          <w:kern w:val="58"/>
          <w:sz w:val="21"/>
          <w:highlight w:val="none"/>
          <w:lang w:eastAsia="zh-CN"/>
        </w:rPr>
        <w:br w:type="textWrapping"/>
      </w:r>
      <w:r>
        <w:rPr>
          <w:rFonts w:hint="eastAsia" w:hAnsi="宋体"/>
          <w:color w:val="000000"/>
          <w:kern w:val="58"/>
          <w:sz w:val="21"/>
          <w:highlight w:val="none"/>
          <w:lang w:eastAsia="zh-CN"/>
        </w:rPr>
        <w:t>其余6个1.5米板均为更换</w:t>
      </w:r>
      <w:r>
        <w:rPr>
          <w:rFonts w:hint="eastAsia" w:hAnsi="宋体"/>
          <w:color w:val="000000"/>
          <w:kern w:val="58"/>
          <w:sz w:val="21"/>
          <w:highlight w:val="none"/>
          <w:lang w:val="en-US" w:eastAsia="zh-CN"/>
        </w:rPr>
        <w:t>优化</w:t>
      </w:r>
      <w:r>
        <w:rPr>
          <w:rFonts w:hint="eastAsia" w:hAnsi="宋体"/>
          <w:color w:val="000000"/>
          <w:kern w:val="58"/>
          <w:sz w:val="21"/>
          <w:highlight w:val="none"/>
          <w:lang w:eastAsia="zh-CN"/>
        </w:rPr>
        <w:t>版面，无需接电。</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（2）制作要求：导向设计、材质应遵循以下标准：</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GB/T 18574-2008 《城市轨道交通客运服务标志》</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GB/T 10001.1-2012 《公共信息图形符号 第一部分：通用符号》</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GB/T 10001.3-2012 《公共信息图形符号 第三部分：客运货运符号》</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GB/T 16902.2-2008 《设备用图形符号表示规则 第二部分：箭头的形式和使用》</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GB/T 15566.1-2007 《图形标志使用原则与要求》</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GB/T 16900-2008 《图形符号表示规则 总则》</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GB/T 16275-2008 《城市轨道交通照明》</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GB 50157-2013 《地铁设计规范》</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GB 50016-2014 《建筑设计防火规范》[2018版]</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GB 50222-2017 《建筑内部装修设计防火规范》</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GB/T 15565.1-2008 《图形符号术语 第1部分：通用》</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GB/T 15565.2-2008 《图形符号术语 第2部分：标志及导向系统》</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GB/T 15608-2006 《中国颜色体系》</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GB/T 16159-2012 《汉语拼音正词法基本规则》</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GB/T 16903.1-2008 《标志用图形符号表示规则 第1部分：公共信息图形符号的设计原则》</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GB/T 16903.2-2013 《标志用图形符号表示规则 第2部分：理解度测试方法》</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GB/T 2893 《图形符号 安全色及安全标志》</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GB 2894-2008 《安全标志及其使用导则》</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GB/T 30240.1-2013 《公共服务领域英文译写规范 第1部分：通则》</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GB/T 30240.2-2017 《公共服务领域英文译写规范 第2部分：交通》</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GB/T 5237.1-2017 《铝合金建筑型材 第1部分：基材》</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GB 8624-2012 《建筑材料及制品燃烧性能分级》</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3）其他要求：</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（1）标志中的文字，除汉语地名外，原则同时使用中、英两种文字。中文字体应采用华文黑体，英文字体应采用Arial字体。</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（2）基准色采用深灰色（色号为Pantone 432C）。信息主体文字图符及数字均采用白色，图符的衬底色采用深灰色（色号为Pantone 432C）</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（3）</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drawing>
          <wp:inline distT="0" distB="0" distL="114300" distR="114300">
            <wp:extent cx="5266690" cy="1523365"/>
            <wp:effectExtent l="0" t="0" r="10160" b="635"/>
            <wp:docPr id="1" name="图片 1" descr="QQ截图20201109095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QQ截图20201109095612"/>
                    <pic:cNvPicPr>
                      <a:picLocks noChangeAspect="1"/>
                    </pic:cNvPicPr>
                  </pic:nvPicPr>
                  <pic:blipFill>
                    <a:blip r:embed="rId4"/>
                    <a:stretch>
                      <a:fillRect/>
                    </a:stretch>
                  </pic:blipFill>
                  <pic:spPr>
                    <a:xfrm>
                      <a:off x="0" y="0"/>
                      <a:ext cx="5266690" cy="1523365"/>
                    </a:xfrm>
                    <a:prstGeom prst="rect">
                      <a:avLst/>
                    </a:prstGeom>
                    <a:noFill/>
                    <a:ln w="9525">
                      <a:noFill/>
                    </a:ln>
                  </pic:spPr>
                </pic:pic>
              </a:graphicData>
            </a:graphic>
          </wp:inline>
        </w:drawing>
      </w:r>
    </w:p>
    <w:p>
      <w:pPr>
        <w:pStyle w:val="5"/>
        <w:spacing w:line="360" w:lineRule="auto"/>
        <w:ind w:firstLine="420" w:firstLineChars="200"/>
        <w:rPr>
          <w:rFonts w:hint="eastAsia" w:hAnsi="宋体"/>
          <w:color w:val="000000"/>
          <w:kern w:val="58"/>
          <w:sz w:val="21"/>
          <w:lang w:val="en-US" w:eastAsia="zh-CN"/>
        </w:rPr>
      </w:pP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2.5.2、资讯图</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1.综合资讯图尺寸及数量：2920*1480，2张；出入口资讯图尺寸：930*1530，5张。（请现场复核尺寸）</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2.材料要求：灯片材质为（3M布/艾力布）进口材质，工艺采用UV双面喷，表面覆光膜或哑膜。</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3.用电需求：G口、F口的出入口资讯图需接电，且需开槽灯箱，需要加配钢化玻璃等外框材料，A、B、C口的出入口资讯图仅需更换内页，两张综合资讯图仅需更换内页，无需开槽和接电。</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4.相关制作要求：</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（1）材料采用进口灯片，透光性好，精度高，且在长时间灯照情况下仍能保持画面的平整性。</w:t>
      </w:r>
    </w:p>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（2）制作选用高清户外写真表面覆保护膜，画面精致、细腻，打灯后色彩艳丽，对比度高，层次丰富，饱和度高。</w:t>
      </w:r>
    </w:p>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3、导向标识及资讯图具体更换需求</w:t>
      </w:r>
    </w:p>
    <w:tbl>
      <w:tblPr>
        <w:tblStyle w:val="7"/>
        <w:tblW w:w="9628" w:type="dxa"/>
        <w:tblInd w:w="0" w:type="dxa"/>
        <w:tblLayout w:type="fixed"/>
        <w:tblCellMar>
          <w:top w:w="0" w:type="dxa"/>
          <w:left w:w="0" w:type="dxa"/>
          <w:bottom w:w="0" w:type="dxa"/>
          <w:right w:w="0" w:type="dxa"/>
        </w:tblCellMar>
      </w:tblPr>
      <w:tblGrid>
        <w:gridCol w:w="1019"/>
        <w:gridCol w:w="6182"/>
        <w:gridCol w:w="1023"/>
        <w:gridCol w:w="1404"/>
      </w:tblGrid>
      <w:tr>
        <w:tblPrEx>
          <w:tblLayout w:type="fixed"/>
          <w:tblCellMar>
            <w:top w:w="0" w:type="dxa"/>
            <w:left w:w="0" w:type="dxa"/>
            <w:bottom w:w="0" w:type="dxa"/>
            <w:right w:w="0" w:type="dxa"/>
          </w:tblCellMar>
        </w:tblPrEx>
        <w:trPr>
          <w:trHeight w:val="567" w:hRule="atLeast"/>
        </w:trPr>
        <w:tc>
          <w:tcPr>
            <w:tcW w:w="9628" w:type="dxa"/>
            <w:gridSpan w:val="4"/>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jc w:val="center"/>
              <w:rPr>
                <w:rFonts w:hint="eastAsia" w:hAnsi="宋体"/>
                <w:color w:val="000000"/>
                <w:kern w:val="58"/>
                <w:sz w:val="21"/>
                <w:highlight w:val="yellow"/>
                <w:lang w:val="en-US" w:eastAsia="zh-CN"/>
              </w:rPr>
            </w:pPr>
            <w:r>
              <w:rPr>
                <w:rFonts w:hint="eastAsia" w:hAnsi="宋体"/>
                <w:color w:val="000000"/>
                <w:kern w:val="58"/>
                <w:sz w:val="21"/>
                <w:highlight w:val="none"/>
                <w:lang w:val="en-US" w:eastAsia="zh-CN"/>
              </w:rPr>
              <w:t>导向标识及综合资讯图工程量清单</w:t>
            </w:r>
          </w:p>
        </w:tc>
      </w:tr>
      <w:tr>
        <w:tblPrEx>
          <w:tblLayout w:type="fixed"/>
          <w:tblCellMar>
            <w:top w:w="0" w:type="dxa"/>
            <w:left w:w="0" w:type="dxa"/>
            <w:bottom w:w="0" w:type="dxa"/>
            <w:right w:w="0" w:type="dxa"/>
          </w:tblCellMar>
        </w:tblPrEx>
        <w:trPr>
          <w:trHeight w:val="567" w:hRule="atLeast"/>
        </w:trPr>
        <w:tc>
          <w:tcPr>
            <w:tcW w:w="101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序号</w:t>
            </w:r>
          </w:p>
        </w:tc>
        <w:tc>
          <w:tcPr>
            <w:tcW w:w="61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项目名称及规格</w:t>
            </w:r>
          </w:p>
        </w:tc>
        <w:tc>
          <w:tcPr>
            <w:tcW w:w="102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单位</w:t>
            </w:r>
          </w:p>
        </w:tc>
        <w:tc>
          <w:tcPr>
            <w:tcW w:w="140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数量</w:t>
            </w:r>
          </w:p>
        </w:tc>
      </w:tr>
      <w:tr>
        <w:tblPrEx>
          <w:tblLayout w:type="fixed"/>
          <w:tblCellMar>
            <w:top w:w="0" w:type="dxa"/>
            <w:left w:w="0" w:type="dxa"/>
            <w:bottom w:w="0" w:type="dxa"/>
            <w:right w:w="0" w:type="dxa"/>
          </w:tblCellMar>
        </w:tblPrEx>
        <w:trPr>
          <w:trHeight w:val="567" w:hRule="atLeast"/>
        </w:trPr>
        <w:tc>
          <w:tcPr>
            <w:tcW w:w="101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1</w:t>
            </w:r>
          </w:p>
        </w:tc>
        <w:tc>
          <w:tcPr>
            <w:tcW w:w="61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新增双面有源导向牌（悬挂式导向3000mm*330mm），内置LED光源、吊杆等配套材料（低压专业需要考虑电源配线）</w:t>
            </w:r>
          </w:p>
        </w:tc>
        <w:tc>
          <w:tcPr>
            <w:tcW w:w="102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套</w:t>
            </w:r>
          </w:p>
        </w:tc>
        <w:tc>
          <w:tcPr>
            <w:tcW w:w="140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2</w:t>
            </w:r>
          </w:p>
        </w:tc>
      </w:tr>
      <w:tr>
        <w:tblPrEx>
          <w:tblLayout w:type="fixed"/>
          <w:tblCellMar>
            <w:top w:w="0" w:type="dxa"/>
            <w:left w:w="0" w:type="dxa"/>
            <w:bottom w:w="0" w:type="dxa"/>
            <w:right w:w="0" w:type="dxa"/>
          </w:tblCellMar>
        </w:tblPrEx>
        <w:trPr>
          <w:trHeight w:val="659" w:hRule="atLeast"/>
        </w:trPr>
        <w:tc>
          <w:tcPr>
            <w:tcW w:w="101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2</w:t>
            </w:r>
          </w:p>
        </w:tc>
        <w:tc>
          <w:tcPr>
            <w:tcW w:w="61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新增卫生间双面有源导向牌（悬挂式导向1500mm*330mm），内置LED光源、吊杆等配套材料（低压专业需要考虑电源配线）</w:t>
            </w:r>
          </w:p>
        </w:tc>
        <w:tc>
          <w:tcPr>
            <w:tcW w:w="102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套</w:t>
            </w:r>
          </w:p>
        </w:tc>
        <w:tc>
          <w:tcPr>
            <w:tcW w:w="140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eastAsia" w:hAnsi="宋体"/>
                <w:color w:val="000000"/>
                <w:kern w:val="58"/>
                <w:sz w:val="21"/>
                <w:lang w:val="en-US" w:eastAsia="zh-CN"/>
              </w:rPr>
            </w:pPr>
            <w:r>
              <w:rPr>
                <w:rFonts w:hint="eastAsia" w:hAnsi="宋体"/>
                <w:color w:val="000000"/>
                <w:kern w:val="58"/>
                <w:sz w:val="21"/>
                <w:lang w:val="en-US" w:eastAsia="zh-CN"/>
              </w:rPr>
              <w:t>1</w:t>
            </w:r>
          </w:p>
        </w:tc>
      </w:tr>
      <w:tr>
        <w:tblPrEx>
          <w:tblLayout w:type="fixed"/>
          <w:tblCellMar>
            <w:top w:w="0" w:type="dxa"/>
            <w:left w:w="0" w:type="dxa"/>
            <w:bottom w:w="0" w:type="dxa"/>
            <w:right w:w="0" w:type="dxa"/>
          </w:tblCellMar>
        </w:tblPrEx>
        <w:trPr>
          <w:trHeight w:val="659" w:hRule="atLeast"/>
        </w:trPr>
        <w:tc>
          <w:tcPr>
            <w:tcW w:w="101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3</w:t>
            </w:r>
          </w:p>
        </w:tc>
        <w:tc>
          <w:tcPr>
            <w:tcW w:w="61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悬挂式导向 3000mm*330mm    单面面板更换</w:t>
            </w:r>
          </w:p>
        </w:tc>
        <w:tc>
          <w:tcPr>
            <w:tcW w:w="102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块</w:t>
            </w:r>
          </w:p>
        </w:tc>
        <w:tc>
          <w:tcPr>
            <w:tcW w:w="140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10</w:t>
            </w:r>
          </w:p>
        </w:tc>
      </w:tr>
      <w:tr>
        <w:tblPrEx>
          <w:tblLayout w:type="fixed"/>
          <w:tblCellMar>
            <w:top w:w="0" w:type="dxa"/>
            <w:left w:w="0" w:type="dxa"/>
            <w:bottom w:w="0" w:type="dxa"/>
            <w:right w:w="0" w:type="dxa"/>
          </w:tblCellMar>
        </w:tblPrEx>
        <w:trPr>
          <w:trHeight w:val="567" w:hRule="atLeast"/>
        </w:trPr>
        <w:tc>
          <w:tcPr>
            <w:tcW w:w="101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4</w:t>
            </w:r>
          </w:p>
        </w:tc>
        <w:tc>
          <w:tcPr>
            <w:tcW w:w="61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悬挂式导向 1500mm*330mm    单面面板更换</w:t>
            </w:r>
          </w:p>
        </w:tc>
        <w:tc>
          <w:tcPr>
            <w:tcW w:w="102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块</w:t>
            </w:r>
          </w:p>
        </w:tc>
        <w:tc>
          <w:tcPr>
            <w:tcW w:w="140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6</w:t>
            </w:r>
          </w:p>
        </w:tc>
      </w:tr>
      <w:tr>
        <w:tblPrEx>
          <w:tblLayout w:type="fixed"/>
          <w:tblCellMar>
            <w:top w:w="0" w:type="dxa"/>
            <w:left w:w="0" w:type="dxa"/>
            <w:bottom w:w="0" w:type="dxa"/>
            <w:right w:w="0" w:type="dxa"/>
          </w:tblCellMar>
        </w:tblPrEx>
        <w:trPr>
          <w:trHeight w:val="567" w:hRule="atLeast"/>
        </w:trPr>
        <w:tc>
          <w:tcPr>
            <w:tcW w:w="101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5</w:t>
            </w:r>
          </w:p>
        </w:tc>
        <w:tc>
          <w:tcPr>
            <w:tcW w:w="61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highlight w:val="none"/>
                <w:lang w:val="en-US" w:eastAsia="zh-CN"/>
              </w:rPr>
            </w:pPr>
            <w:r>
              <w:rPr>
                <w:rFonts w:hint="eastAsia" w:hAnsi="宋体"/>
                <w:color w:val="000000"/>
                <w:kern w:val="58"/>
                <w:sz w:val="21"/>
                <w:highlight w:val="none"/>
                <w:lang w:val="en-US" w:eastAsia="zh-CN"/>
              </w:rPr>
              <w:t>综合资讯图：2920mm*1480mm  更换及优化版面（灯片）</w:t>
            </w:r>
          </w:p>
        </w:tc>
        <w:tc>
          <w:tcPr>
            <w:tcW w:w="102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张</w:t>
            </w:r>
          </w:p>
        </w:tc>
        <w:tc>
          <w:tcPr>
            <w:tcW w:w="140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2</w:t>
            </w:r>
          </w:p>
        </w:tc>
      </w:tr>
      <w:tr>
        <w:tblPrEx>
          <w:tblLayout w:type="fixed"/>
          <w:tblCellMar>
            <w:top w:w="0" w:type="dxa"/>
            <w:left w:w="0" w:type="dxa"/>
            <w:bottom w:w="0" w:type="dxa"/>
            <w:right w:w="0" w:type="dxa"/>
          </w:tblCellMar>
        </w:tblPrEx>
        <w:trPr>
          <w:trHeight w:val="567" w:hRule="atLeast"/>
        </w:trPr>
        <w:tc>
          <w:tcPr>
            <w:tcW w:w="101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6</w:t>
            </w:r>
          </w:p>
        </w:tc>
        <w:tc>
          <w:tcPr>
            <w:tcW w:w="61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highlight w:val="none"/>
                <w:lang w:val="en-US" w:eastAsia="zh-CN"/>
              </w:rPr>
            </w:pPr>
            <w:r>
              <w:rPr>
                <w:rFonts w:hint="eastAsia" w:hAnsi="宋体"/>
                <w:color w:val="000000"/>
                <w:kern w:val="58"/>
                <w:sz w:val="21"/>
                <w:highlight w:val="none"/>
                <w:lang w:val="en-US" w:eastAsia="zh-CN"/>
              </w:rPr>
              <w:t>出入口资讯图：930mm*1530mm 更换及优化版面（灯片）</w:t>
            </w:r>
          </w:p>
        </w:tc>
        <w:tc>
          <w:tcPr>
            <w:tcW w:w="102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张</w:t>
            </w:r>
          </w:p>
        </w:tc>
        <w:tc>
          <w:tcPr>
            <w:tcW w:w="140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3</w:t>
            </w:r>
          </w:p>
        </w:tc>
      </w:tr>
      <w:tr>
        <w:tblPrEx>
          <w:tblLayout w:type="fixed"/>
          <w:tblCellMar>
            <w:top w:w="0" w:type="dxa"/>
            <w:left w:w="0" w:type="dxa"/>
            <w:bottom w:w="0" w:type="dxa"/>
            <w:right w:w="0" w:type="dxa"/>
          </w:tblCellMar>
        </w:tblPrEx>
        <w:trPr>
          <w:trHeight w:val="567" w:hRule="atLeast"/>
        </w:trPr>
        <w:tc>
          <w:tcPr>
            <w:tcW w:w="101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7</w:t>
            </w:r>
          </w:p>
        </w:tc>
        <w:tc>
          <w:tcPr>
            <w:tcW w:w="618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highlight w:val="none"/>
                <w:lang w:val="en-US" w:eastAsia="zh-CN"/>
              </w:rPr>
            </w:pPr>
            <w:r>
              <w:rPr>
                <w:rFonts w:hint="eastAsia" w:hAnsi="宋体"/>
                <w:color w:val="000000"/>
                <w:kern w:val="58"/>
                <w:sz w:val="21"/>
                <w:highlight w:val="none"/>
                <w:lang w:val="en-US" w:eastAsia="zh-CN"/>
              </w:rPr>
              <w:t>出入口资讯图：930mm*1530mm 新增灯片、铝合金外框、外框玻璃、光源等全套材料。（低压专业需要考虑电源配线）</w:t>
            </w:r>
          </w:p>
        </w:tc>
        <w:tc>
          <w:tcPr>
            <w:tcW w:w="102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套</w:t>
            </w:r>
          </w:p>
        </w:tc>
        <w:tc>
          <w:tcPr>
            <w:tcW w:w="140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2</w:t>
            </w:r>
          </w:p>
        </w:tc>
      </w:tr>
    </w:tbl>
    <w:p>
      <w:pPr>
        <w:pStyle w:val="5"/>
        <w:spacing w:line="360" w:lineRule="auto"/>
        <w:ind w:firstLine="420" w:firstLineChars="200"/>
        <w:rPr>
          <w:rFonts w:hint="eastAsia" w:hAnsi="宋体"/>
          <w:color w:val="000000"/>
          <w:kern w:val="58"/>
          <w:sz w:val="21"/>
          <w:lang w:eastAsia="zh-CN"/>
        </w:rPr>
      </w:pPr>
    </w:p>
    <w:p>
      <w:pPr>
        <w:rPr>
          <w:rFonts w:hint="eastAsia"/>
          <w:b/>
          <w:lang w:val="en-US" w:eastAsia="zh-CN"/>
        </w:rPr>
      </w:pPr>
    </w:p>
    <w:p>
      <w:pPr>
        <w:rPr>
          <w:rFonts w:hint="eastAsia"/>
          <w:b/>
          <w:lang w:val="en-US" w:eastAsia="zh-CN"/>
        </w:rPr>
      </w:pPr>
      <w:r>
        <w:rPr>
          <w:rFonts w:hint="eastAsia"/>
          <w:b/>
          <w:lang w:val="en-US" w:eastAsia="zh-CN"/>
        </w:rPr>
        <w:t>2.6主要设施设备品牌要求</w:t>
      </w:r>
    </w:p>
    <w:tbl>
      <w:tblPr>
        <w:tblStyle w:val="7"/>
        <w:tblW w:w="9388" w:type="dxa"/>
        <w:tblInd w:w="96" w:type="dxa"/>
        <w:tblLayout w:type="fixed"/>
        <w:tblCellMar>
          <w:top w:w="0" w:type="dxa"/>
          <w:left w:w="108" w:type="dxa"/>
          <w:bottom w:w="0" w:type="dxa"/>
          <w:right w:w="108" w:type="dxa"/>
        </w:tblCellMar>
      </w:tblPr>
      <w:tblGrid>
        <w:gridCol w:w="726"/>
        <w:gridCol w:w="2390"/>
        <w:gridCol w:w="1145"/>
        <w:gridCol w:w="1670"/>
        <w:gridCol w:w="3457"/>
      </w:tblGrid>
      <w:tr>
        <w:tblPrEx>
          <w:tblLayout w:type="fixed"/>
          <w:tblCellMar>
            <w:top w:w="0" w:type="dxa"/>
            <w:left w:w="108" w:type="dxa"/>
            <w:bottom w:w="0" w:type="dxa"/>
            <w:right w:w="108" w:type="dxa"/>
          </w:tblCellMar>
        </w:tblPrEx>
        <w:trPr>
          <w:trHeight w:val="890" w:hRule="atLeast"/>
        </w:trPr>
        <w:tc>
          <w:tcPr>
            <w:tcW w:w="726"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序号</w:t>
            </w:r>
          </w:p>
        </w:tc>
        <w:tc>
          <w:tcPr>
            <w:tcW w:w="2390"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内容</w:t>
            </w:r>
          </w:p>
        </w:tc>
        <w:tc>
          <w:tcPr>
            <w:tcW w:w="1145"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设置地点</w:t>
            </w:r>
          </w:p>
        </w:tc>
        <w:tc>
          <w:tcPr>
            <w:tcW w:w="1670"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ascii="宋体" w:hAnsi="宋体" w:eastAsia="宋体" w:cs="宋体"/>
                <w:sz w:val="24"/>
                <w:szCs w:val="24"/>
              </w:rPr>
              <w:t>参考或相当于如下品牌</w:t>
            </w:r>
          </w:p>
        </w:tc>
        <w:tc>
          <w:tcPr>
            <w:tcW w:w="3457"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备注</w:t>
            </w:r>
          </w:p>
        </w:tc>
      </w:tr>
      <w:tr>
        <w:tblPrEx>
          <w:tblLayout w:type="fixed"/>
          <w:tblCellMar>
            <w:top w:w="0" w:type="dxa"/>
            <w:left w:w="108" w:type="dxa"/>
            <w:bottom w:w="0" w:type="dxa"/>
            <w:right w:w="108" w:type="dxa"/>
          </w:tblCellMar>
        </w:tblPrEx>
        <w:trPr>
          <w:trHeight w:val="532" w:hRule="atLeast"/>
        </w:trPr>
        <w:tc>
          <w:tcPr>
            <w:tcW w:w="726"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1</w:t>
            </w:r>
          </w:p>
        </w:tc>
        <w:tc>
          <w:tcPr>
            <w:tcW w:w="2390" w:type="dxa"/>
            <w:tcBorders>
              <w:top w:val="nil"/>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固定式高清数字摄像机（枪机）</w:t>
            </w:r>
          </w:p>
        </w:tc>
        <w:tc>
          <w:tcPr>
            <w:tcW w:w="1145" w:type="dxa"/>
            <w:tcBorders>
              <w:top w:val="nil"/>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车站通道</w:t>
            </w:r>
          </w:p>
        </w:tc>
        <w:tc>
          <w:tcPr>
            <w:tcW w:w="1670" w:type="dxa"/>
            <w:tcBorders>
              <w:top w:val="nil"/>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大华</w:t>
            </w:r>
          </w:p>
        </w:tc>
        <w:tc>
          <w:tcPr>
            <w:tcW w:w="3457" w:type="dxa"/>
            <w:tcBorders>
              <w:top w:val="nil"/>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含32G SD卡、镜头、防护罩、吊杆和设备箱等全套附件，镜头采用富士能（与既有保持一致）</w:t>
            </w:r>
          </w:p>
        </w:tc>
      </w:tr>
      <w:tr>
        <w:tblPrEx>
          <w:tblLayout w:type="fixed"/>
          <w:tblCellMar>
            <w:top w:w="0" w:type="dxa"/>
            <w:left w:w="108" w:type="dxa"/>
            <w:bottom w:w="0" w:type="dxa"/>
            <w:right w:w="108" w:type="dxa"/>
          </w:tblCellMar>
        </w:tblPrEx>
        <w:trPr>
          <w:trHeight w:val="100" w:hRule="atLeast"/>
        </w:trPr>
        <w:tc>
          <w:tcPr>
            <w:tcW w:w="726"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2</w:t>
            </w:r>
          </w:p>
        </w:tc>
        <w:tc>
          <w:tcPr>
            <w:tcW w:w="2390" w:type="dxa"/>
            <w:tcBorders>
              <w:top w:val="nil"/>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高清半球摄像机</w:t>
            </w:r>
          </w:p>
        </w:tc>
        <w:tc>
          <w:tcPr>
            <w:tcW w:w="1145" w:type="dxa"/>
            <w:tcBorders>
              <w:top w:val="nil"/>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车站通道</w:t>
            </w:r>
          </w:p>
        </w:tc>
        <w:tc>
          <w:tcPr>
            <w:tcW w:w="1670" w:type="dxa"/>
            <w:tcBorders>
              <w:top w:val="nil"/>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大华</w:t>
            </w:r>
          </w:p>
        </w:tc>
        <w:tc>
          <w:tcPr>
            <w:tcW w:w="3457" w:type="dxa"/>
            <w:tcBorders>
              <w:top w:val="nil"/>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含32G SD卡、吊杆和设备箱等全套附件（与既有保持一致）</w:t>
            </w:r>
          </w:p>
        </w:tc>
      </w:tr>
      <w:tr>
        <w:tblPrEx>
          <w:tblLayout w:type="fixed"/>
          <w:tblCellMar>
            <w:top w:w="0" w:type="dxa"/>
            <w:left w:w="108" w:type="dxa"/>
            <w:bottom w:w="0" w:type="dxa"/>
            <w:right w:w="108" w:type="dxa"/>
          </w:tblCellMar>
        </w:tblPrEx>
        <w:trPr>
          <w:trHeight w:val="532" w:hRule="atLeast"/>
        </w:trPr>
        <w:tc>
          <w:tcPr>
            <w:tcW w:w="726"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3</w:t>
            </w:r>
          </w:p>
        </w:tc>
        <w:tc>
          <w:tcPr>
            <w:tcW w:w="2390" w:type="dxa"/>
            <w:tcBorders>
              <w:top w:val="nil"/>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室外高清网络球机</w:t>
            </w:r>
          </w:p>
        </w:tc>
        <w:tc>
          <w:tcPr>
            <w:tcW w:w="1145" w:type="dxa"/>
            <w:tcBorders>
              <w:top w:val="nil"/>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出入口</w:t>
            </w:r>
          </w:p>
        </w:tc>
        <w:tc>
          <w:tcPr>
            <w:tcW w:w="1670" w:type="dxa"/>
            <w:tcBorders>
              <w:top w:val="nil"/>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大华</w:t>
            </w:r>
          </w:p>
        </w:tc>
        <w:tc>
          <w:tcPr>
            <w:tcW w:w="3457" w:type="dxa"/>
            <w:tcBorders>
              <w:top w:val="nil"/>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含32G SD卡、吊杆、立杆、设备箱、路面开挖及修复等所有关联设备设施等全套附件（与既有保持一致）</w:t>
            </w:r>
          </w:p>
        </w:tc>
      </w:tr>
      <w:tr>
        <w:tblPrEx>
          <w:tblLayout w:type="fixed"/>
          <w:tblCellMar>
            <w:top w:w="0" w:type="dxa"/>
            <w:left w:w="108" w:type="dxa"/>
            <w:bottom w:w="0" w:type="dxa"/>
            <w:right w:w="108" w:type="dxa"/>
          </w:tblCellMar>
        </w:tblPrEx>
        <w:trPr>
          <w:trHeight w:val="532" w:hRule="atLeast"/>
        </w:trPr>
        <w:tc>
          <w:tcPr>
            <w:tcW w:w="726"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4</w:t>
            </w:r>
          </w:p>
        </w:tc>
        <w:tc>
          <w:tcPr>
            <w:tcW w:w="2390"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交换机板卡扩容</w:t>
            </w:r>
          </w:p>
        </w:tc>
        <w:tc>
          <w:tcPr>
            <w:tcW w:w="1145"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公安机房</w:t>
            </w:r>
          </w:p>
        </w:tc>
        <w:tc>
          <w:tcPr>
            <w:tcW w:w="1670"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迪普</w:t>
            </w:r>
          </w:p>
        </w:tc>
        <w:tc>
          <w:tcPr>
            <w:tcW w:w="3457"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（与既有保持一致）</w:t>
            </w:r>
          </w:p>
        </w:tc>
      </w:tr>
      <w:tr>
        <w:tblPrEx>
          <w:tblLayout w:type="fixed"/>
          <w:tblCellMar>
            <w:top w:w="0" w:type="dxa"/>
            <w:left w:w="108" w:type="dxa"/>
            <w:bottom w:w="0" w:type="dxa"/>
            <w:right w:w="108" w:type="dxa"/>
          </w:tblCellMar>
        </w:tblPrEx>
        <w:trPr>
          <w:trHeight w:val="532" w:hRule="atLeast"/>
        </w:trPr>
        <w:tc>
          <w:tcPr>
            <w:tcW w:w="726"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5</w:t>
            </w:r>
          </w:p>
        </w:tc>
        <w:tc>
          <w:tcPr>
            <w:tcW w:w="2390"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存储扩容（增加硬盘）</w:t>
            </w:r>
          </w:p>
        </w:tc>
        <w:tc>
          <w:tcPr>
            <w:tcW w:w="1145"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公安机房</w:t>
            </w:r>
          </w:p>
        </w:tc>
        <w:tc>
          <w:tcPr>
            <w:tcW w:w="1670"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戴尔</w:t>
            </w:r>
          </w:p>
        </w:tc>
        <w:tc>
          <w:tcPr>
            <w:tcW w:w="3457"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4T/块（与既有保持一致）</w:t>
            </w:r>
          </w:p>
        </w:tc>
      </w:tr>
      <w:tr>
        <w:tblPrEx>
          <w:tblLayout w:type="fixed"/>
          <w:tblCellMar>
            <w:top w:w="0" w:type="dxa"/>
            <w:left w:w="108" w:type="dxa"/>
            <w:bottom w:w="0" w:type="dxa"/>
            <w:right w:w="108" w:type="dxa"/>
          </w:tblCellMar>
        </w:tblPrEx>
        <w:trPr>
          <w:trHeight w:val="532" w:hRule="atLeast"/>
        </w:trPr>
        <w:tc>
          <w:tcPr>
            <w:tcW w:w="726"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hAnsi="宋体"/>
                <w:color w:val="000000"/>
                <w:kern w:val="58"/>
                <w:sz w:val="21"/>
                <w:highlight w:val="none"/>
                <w:lang w:val="en-US" w:eastAsia="zh-CN"/>
              </w:rPr>
            </w:pPr>
            <w:r>
              <w:rPr>
                <w:rFonts w:hint="eastAsia" w:hAnsi="宋体"/>
                <w:color w:val="000000"/>
                <w:kern w:val="58"/>
                <w:sz w:val="21"/>
                <w:highlight w:val="none"/>
                <w:lang w:val="en-US" w:eastAsia="zh-CN"/>
              </w:rPr>
              <w:t>6</w:t>
            </w:r>
          </w:p>
        </w:tc>
        <w:tc>
          <w:tcPr>
            <w:tcW w:w="2390" w:type="dxa"/>
            <w:tcBorders>
              <w:top w:val="single" w:color="auto" w:sz="4" w:space="0"/>
              <w:left w:val="nil"/>
              <w:bottom w:val="single" w:color="auto" w:sz="4" w:space="0"/>
              <w:right w:val="single" w:color="auto" w:sz="4" w:space="0"/>
            </w:tcBorders>
            <w:vAlign w:val="center"/>
          </w:tcPr>
          <w:p>
            <w:pPr>
              <w:pStyle w:val="5"/>
              <w:spacing w:line="360" w:lineRule="auto"/>
              <w:ind w:firstLine="0" w:firstLineChars="0"/>
              <w:jc w:val="center"/>
              <w:outlineLvl w:val="9"/>
              <w:rPr>
                <w:rFonts w:hint="default" w:hAnsi="宋体"/>
                <w:color w:val="000000"/>
                <w:kern w:val="58"/>
                <w:sz w:val="21"/>
                <w:highlight w:val="none"/>
                <w:lang w:val="en-US" w:eastAsia="zh-CN"/>
              </w:rPr>
            </w:pPr>
            <w:r>
              <w:rPr>
                <w:rFonts w:hint="eastAsia" w:hAnsi="宋体"/>
                <w:color w:val="000000"/>
                <w:kern w:val="58"/>
                <w:sz w:val="21"/>
                <w:highlight w:val="none"/>
                <w:lang w:val="en-US" w:eastAsia="zh-CN"/>
              </w:rPr>
              <w:t>低压熔断器</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tc>
        <w:tc>
          <w:tcPr>
            <w:tcW w:w="1145"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车站通道</w:t>
            </w:r>
          </w:p>
        </w:tc>
        <w:tc>
          <w:tcPr>
            <w:tcW w:w="1670" w:type="dxa"/>
            <w:tcBorders>
              <w:top w:val="single" w:color="auto" w:sz="4" w:space="0"/>
              <w:left w:val="nil"/>
              <w:bottom w:val="single" w:color="auto" w:sz="4" w:space="0"/>
              <w:right w:val="single" w:color="auto" w:sz="4" w:space="0"/>
            </w:tcBorders>
            <w:vAlign w:val="center"/>
          </w:tcPr>
          <w:p>
            <w:pPr>
              <w:pStyle w:val="5"/>
              <w:spacing w:line="360" w:lineRule="auto"/>
              <w:ind w:firstLine="0" w:firstLineChars="0"/>
              <w:jc w:val="center"/>
              <w:outlineLvl w:val="9"/>
              <w:rPr>
                <w:rFonts w:hint="eastAsia" w:hAnsi="宋体"/>
                <w:color w:val="000000"/>
                <w:kern w:val="58"/>
                <w:sz w:val="21"/>
                <w:highlight w:val="none"/>
                <w:lang w:val="en-US" w:eastAsia="zh-CN"/>
              </w:rPr>
            </w:pPr>
            <w:r>
              <w:rPr>
                <w:rFonts w:hint="eastAsia" w:hAnsi="宋体"/>
                <w:b w:val="0"/>
                <w:bCs w:val="0"/>
                <w:color w:val="000000"/>
                <w:kern w:val="58"/>
                <w:sz w:val="21"/>
                <w:highlight w:val="none"/>
                <w:lang w:val="en-US" w:eastAsia="zh-CN"/>
              </w:rPr>
              <w:t>沪熔、正泰、德力西</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tc>
        <w:tc>
          <w:tcPr>
            <w:tcW w:w="3457"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tc>
      </w:tr>
      <w:tr>
        <w:tblPrEx>
          <w:tblLayout w:type="fixed"/>
          <w:tblCellMar>
            <w:top w:w="0" w:type="dxa"/>
            <w:left w:w="108" w:type="dxa"/>
            <w:bottom w:w="0" w:type="dxa"/>
            <w:right w:w="108" w:type="dxa"/>
          </w:tblCellMar>
        </w:tblPrEx>
        <w:trPr>
          <w:trHeight w:val="532" w:hRule="atLeast"/>
        </w:trPr>
        <w:tc>
          <w:tcPr>
            <w:tcW w:w="726"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hAnsi="宋体"/>
                <w:color w:val="000000"/>
                <w:kern w:val="58"/>
                <w:sz w:val="21"/>
                <w:highlight w:val="none"/>
                <w:lang w:val="en-US" w:eastAsia="zh-CN"/>
              </w:rPr>
            </w:pPr>
            <w:r>
              <w:rPr>
                <w:rFonts w:hint="eastAsia" w:hAnsi="宋体"/>
                <w:color w:val="000000"/>
                <w:kern w:val="58"/>
                <w:sz w:val="21"/>
                <w:highlight w:val="none"/>
                <w:lang w:val="en-US" w:eastAsia="zh-CN"/>
              </w:rPr>
              <w:t>7</w:t>
            </w:r>
          </w:p>
        </w:tc>
        <w:tc>
          <w:tcPr>
            <w:tcW w:w="2390"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低压无卤耐火型电力电缆</w:t>
            </w:r>
          </w:p>
        </w:tc>
        <w:tc>
          <w:tcPr>
            <w:tcW w:w="1145"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车站通道</w:t>
            </w:r>
          </w:p>
        </w:tc>
        <w:tc>
          <w:tcPr>
            <w:tcW w:w="1670" w:type="dxa"/>
            <w:tcBorders>
              <w:top w:val="single" w:color="auto" w:sz="4" w:space="0"/>
              <w:left w:val="nil"/>
              <w:bottom w:val="single" w:color="auto" w:sz="4" w:space="0"/>
              <w:right w:val="single" w:color="auto" w:sz="4" w:space="0"/>
            </w:tcBorders>
            <w:vAlign w:val="center"/>
          </w:tcPr>
          <w:p>
            <w:pPr>
              <w:pStyle w:val="5"/>
              <w:spacing w:line="360" w:lineRule="auto"/>
              <w:ind w:firstLine="0" w:firstLineChars="0"/>
              <w:jc w:val="center"/>
              <w:outlineLvl w:val="9"/>
              <w:rPr>
                <w:rFonts w:hint="eastAsia" w:hAnsi="宋体"/>
                <w:color w:val="000000"/>
                <w:kern w:val="58"/>
                <w:sz w:val="21"/>
                <w:highlight w:val="none"/>
                <w:lang w:val="en-US" w:eastAsia="zh-CN"/>
              </w:rPr>
            </w:pPr>
            <w:r>
              <w:rPr>
                <w:rFonts w:hint="eastAsia" w:hAnsi="宋体"/>
                <w:b w:val="0"/>
                <w:bCs w:val="0"/>
                <w:color w:val="000000"/>
                <w:kern w:val="58"/>
                <w:sz w:val="21"/>
                <w:highlight w:val="none"/>
                <w:lang w:val="en-US" w:eastAsia="zh-CN"/>
              </w:rPr>
              <w:t>东方、球冠、熊猫</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tc>
        <w:tc>
          <w:tcPr>
            <w:tcW w:w="3457"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tc>
      </w:tr>
      <w:tr>
        <w:tblPrEx>
          <w:tblLayout w:type="fixed"/>
          <w:tblCellMar>
            <w:top w:w="0" w:type="dxa"/>
            <w:left w:w="108" w:type="dxa"/>
            <w:bottom w:w="0" w:type="dxa"/>
            <w:right w:w="108" w:type="dxa"/>
          </w:tblCellMar>
        </w:tblPrEx>
        <w:trPr>
          <w:trHeight w:val="532" w:hRule="atLeast"/>
        </w:trPr>
        <w:tc>
          <w:tcPr>
            <w:tcW w:w="726"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hAnsi="宋体"/>
                <w:color w:val="000000"/>
                <w:kern w:val="58"/>
                <w:sz w:val="21"/>
                <w:highlight w:val="none"/>
                <w:lang w:val="en-US" w:eastAsia="zh-CN"/>
              </w:rPr>
            </w:pPr>
            <w:r>
              <w:rPr>
                <w:rFonts w:hint="eastAsia" w:hAnsi="宋体"/>
                <w:color w:val="000000"/>
                <w:kern w:val="58"/>
                <w:sz w:val="21"/>
                <w:highlight w:val="none"/>
                <w:lang w:val="en-US" w:eastAsia="zh-CN"/>
              </w:rPr>
              <w:t>8</w:t>
            </w:r>
          </w:p>
        </w:tc>
        <w:tc>
          <w:tcPr>
            <w:tcW w:w="2390"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低压无卤阻燃型电线电缆</w:t>
            </w:r>
          </w:p>
        </w:tc>
        <w:tc>
          <w:tcPr>
            <w:tcW w:w="1145"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车站通道</w:t>
            </w:r>
          </w:p>
        </w:tc>
        <w:tc>
          <w:tcPr>
            <w:tcW w:w="1670" w:type="dxa"/>
            <w:tcBorders>
              <w:top w:val="single" w:color="auto" w:sz="4" w:space="0"/>
              <w:left w:val="nil"/>
              <w:bottom w:val="single" w:color="auto" w:sz="4" w:space="0"/>
              <w:right w:val="single" w:color="auto" w:sz="4" w:space="0"/>
            </w:tcBorders>
            <w:vAlign w:val="center"/>
          </w:tcPr>
          <w:p>
            <w:pPr>
              <w:pStyle w:val="5"/>
              <w:spacing w:line="360" w:lineRule="auto"/>
              <w:ind w:firstLine="0" w:firstLineChars="0"/>
              <w:jc w:val="center"/>
              <w:outlineLvl w:val="9"/>
              <w:rPr>
                <w:rFonts w:hint="eastAsia" w:hAnsi="宋体"/>
                <w:color w:val="000000"/>
                <w:kern w:val="58"/>
                <w:sz w:val="21"/>
                <w:highlight w:val="none"/>
                <w:lang w:val="en-US" w:eastAsia="zh-CN"/>
              </w:rPr>
            </w:pPr>
            <w:r>
              <w:rPr>
                <w:rFonts w:hint="eastAsia" w:hAnsi="宋体"/>
                <w:b w:val="0"/>
                <w:bCs w:val="0"/>
                <w:color w:val="000000"/>
                <w:kern w:val="58"/>
                <w:sz w:val="21"/>
                <w:highlight w:val="none"/>
                <w:lang w:val="en-US" w:eastAsia="zh-CN"/>
              </w:rPr>
              <w:t>东方、球冠、熊猫</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tc>
        <w:tc>
          <w:tcPr>
            <w:tcW w:w="3457"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tc>
      </w:tr>
      <w:tr>
        <w:tblPrEx>
          <w:tblLayout w:type="fixed"/>
          <w:tblCellMar>
            <w:top w:w="0" w:type="dxa"/>
            <w:left w:w="108" w:type="dxa"/>
            <w:bottom w:w="0" w:type="dxa"/>
            <w:right w:w="108" w:type="dxa"/>
          </w:tblCellMar>
        </w:tblPrEx>
        <w:trPr>
          <w:trHeight w:val="90" w:hRule="atLeast"/>
        </w:trPr>
        <w:tc>
          <w:tcPr>
            <w:tcW w:w="726"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hAnsi="宋体"/>
                <w:color w:val="000000"/>
                <w:kern w:val="58"/>
                <w:sz w:val="21"/>
                <w:highlight w:val="none"/>
                <w:lang w:val="en-US" w:eastAsia="zh-CN"/>
              </w:rPr>
            </w:pPr>
            <w:r>
              <w:rPr>
                <w:rFonts w:hint="eastAsia" w:hAnsi="宋体"/>
                <w:color w:val="000000"/>
                <w:kern w:val="58"/>
                <w:sz w:val="21"/>
                <w:highlight w:val="none"/>
                <w:lang w:val="en-US" w:eastAsia="zh-CN"/>
              </w:rPr>
              <w:t>9</w:t>
            </w:r>
          </w:p>
        </w:tc>
        <w:tc>
          <w:tcPr>
            <w:tcW w:w="2390"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LED面框灯、应急LED面框灯、应急LED筒灯</w:t>
            </w:r>
          </w:p>
        </w:tc>
        <w:tc>
          <w:tcPr>
            <w:tcW w:w="1145"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车站通道</w:t>
            </w:r>
          </w:p>
        </w:tc>
        <w:tc>
          <w:tcPr>
            <w:tcW w:w="1670" w:type="dxa"/>
            <w:tcBorders>
              <w:top w:val="single" w:color="auto" w:sz="4" w:space="0"/>
              <w:left w:val="nil"/>
              <w:bottom w:val="single" w:color="auto" w:sz="4" w:space="0"/>
              <w:right w:val="single" w:color="auto" w:sz="4" w:space="0"/>
            </w:tcBorders>
            <w:vAlign w:val="center"/>
          </w:tcPr>
          <w:p>
            <w:pPr>
              <w:pStyle w:val="5"/>
              <w:spacing w:line="360" w:lineRule="auto"/>
              <w:ind w:firstLine="0" w:firstLineChars="0"/>
              <w:jc w:val="center"/>
              <w:outlineLvl w:val="9"/>
              <w:rPr>
                <w:rFonts w:hint="eastAsia" w:hAnsi="宋体"/>
                <w:color w:val="000000"/>
                <w:kern w:val="58"/>
                <w:sz w:val="21"/>
                <w:highlight w:val="none"/>
                <w:lang w:val="en-US" w:eastAsia="zh-CN"/>
              </w:rPr>
            </w:pPr>
            <w:r>
              <w:rPr>
                <w:rFonts w:hint="eastAsia" w:hAnsi="宋体"/>
                <w:b w:val="0"/>
                <w:bCs w:val="0"/>
                <w:color w:val="000000"/>
                <w:kern w:val="58"/>
                <w:sz w:val="21"/>
                <w:highlight w:val="none"/>
                <w:lang w:val="en-US" w:eastAsia="zh-CN"/>
              </w:rPr>
              <w:t>欧普、雷士、新力</w:t>
            </w:r>
          </w:p>
        </w:tc>
        <w:tc>
          <w:tcPr>
            <w:tcW w:w="3457"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tc>
      </w:tr>
      <w:tr>
        <w:tblPrEx>
          <w:tblLayout w:type="fixed"/>
          <w:tblCellMar>
            <w:top w:w="0" w:type="dxa"/>
            <w:left w:w="108" w:type="dxa"/>
            <w:bottom w:w="0" w:type="dxa"/>
            <w:right w:w="108" w:type="dxa"/>
          </w:tblCellMar>
        </w:tblPrEx>
        <w:trPr>
          <w:trHeight w:val="532" w:hRule="atLeast"/>
        </w:trPr>
        <w:tc>
          <w:tcPr>
            <w:tcW w:w="726"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hAnsi="宋体"/>
                <w:color w:val="000000"/>
                <w:kern w:val="58"/>
                <w:sz w:val="21"/>
                <w:highlight w:val="none"/>
                <w:lang w:val="en-US" w:eastAsia="zh-CN"/>
              </w:rPr>
            </w:pPr>
            <w:r>
              <w:rPr>
                <w:rFonts w:hint="eastAsia" w:hAnsi="宋体"/>
                <w:color w:val="000000"/>
                <w:kern w:val="58"/>
                <w:sz w:val="21"/>
                <w:highlight w:val="none"/>
                <w:lang w:val="en-US" w:eastAsia="zh-CN"/>
              </w:rPr>
              <w:t>10</w:t>
            </w:r>
          </w:p>
        </w:tc>
        <w:tc>
          <w:tcPr>
            <w:tcW w:w="2390"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单项疏散指示灯</w:t>
            </w:r>
          </w:p>
        </w:tc>
        <w:tc>
          <w:tcPr>
            <w:tcW w:w="1145"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车站通道</w:t>
            </w:r>
          </w:p>
        </w:tc>
        <w:tc>
          <w:tcPr>
            <w:tcW w:w="1670" w:type="dxa"/>
            <w:tcBorders>
              <w:top w:val="single" w:color="auto" w:sz="4" w:space="0"/>
              <w:left w:val="nil"/>
              <w:bottom w:val="single" w:color="auto" w:sz="4" w:space="0"/>
              <w:right w:val="single" w:color="auto" w:sz="4" w:space="0"/>
            </w:tcBorders>
            <w:vAlign w:val="center"/>
          </w:tcPr>
          <w:p>
            <w:pPr>
              <w:pStyle w:val="5"/>
              <w:spacing w:line="360" w:lineRule="auto"/>
              <w:ind w:firstLine="0" w:firstLineChars="0"/>
              <w:jc w:val="center"/>
              <w:outlineLvl w:val="9"/>
              <w:rPr>
                <w:rFonts w:hint="default" w:hAnsi="宋体"/>
                <w:color w:val="000000"/>
                <w:kern w:val="58"/>
                <w:sz w:val="21"/>
                <w:highlight w:val="none"/>
                <w:lang w:val="en-US" w:eastAsia="zh-CN"/>
              </w:rPr>
            </w:pPr>
            <w:r>
              <w:rPr>
                <w:rFonts w:hint="eastAsia" w:hAnsi="宋体"/>
                <w:b w:val="0"/>
                <w:bCs w:val="0"/>
                <w:color w:val="000000"/>
                <w:kern w:val="58"/>
                <w:sz w:val="21"/>
                <w:highlight w:val="none"/>
                <w:lang w:val="en-US" w:eastAsia="zh-CN"/>
              </w:rPr>
              <w:t>正辉、佛山照明、乐思达</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tc>
        <w:tc>
          <w:tcPr>
            <w:tcW w:w="3457"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tc>
      </w:tr>
      <w:tr>
        <w:tblPrEx>
          <w:tblLayout w:type="fixed"/>
          <w:tblCellMar>
            <w:top w:w="0" w:type="dxa"/>
            <w:left w:w="108" w:type="dxa"/>
            <w:bottom w:w="0" w:type="dxa"/>
            <w:right w:w="108" w:type="dxa"/>
          </w:tblCellMar>
        </w:tblPrEx>
        <w:trPr>
          <w:trHeight w:val="532" w:hRule="atLeast"/>
        </w:trPr>
        <w:tc>
          <w:tcPr>
            <w:tcW w:w="726"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hAnsi="宋体"/>
                <w:color w:val="000000"/>
                <w:kern w:val="58"/>
                <w:sz w:val="21"/>
                <w:highlight w:val="none"/>
                <w:lang w:val="en-US" w:eastAsia="zh-CN"/>
              </w:rPr>
            </w:pPr>
            <w:r>
              <w:rPr>
                <w:rFonts w:hint="eastAsia" w:hAnsi="宋体"/>
                <w:color w:val="000000"/>
                <w:kern w:val="58"/>
                <w:sz w:val="21"/>
                <w:highlight w:val="none"/>
                <w:lang w:val="en-US" w:eastAsia="zh-CN"/>
              </w:rPr>
              <w:t>11</w:t>
            </w:r>
          </w:p>
        </w:tc>
        <w:tc>
          <w:tcPr>
            <w:tcW w:w="2390" w:type="dxa"/>
            <w:tcBorders>
              <w:top w:val="single" w:color="auto" w:sz="4" w:space="0"/>
              <w:left w:val="nil"/>
              <w:bottom w:val="single" w:color="auto" w:sz="4" w:space="0"/>
              <w:right w:val="single" w:color="auto" w:sz="4" w:space="0"/>
            </w:tcBorders>
            <w:vAlign w:val="center"/>
          </w:tcPr>
          <w:p>
            <w:pPr>
              <w:pStyle w:val="5"/>
              <w:spacing w:line="360" w:lineRule="auto"/>
              <w:ind w:firstLine="0" w:firstLineChars="0"/>
              <w:jc w:val="center"/>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自动排气阀及蝶阀</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tc>
        <w:tc>
          <w:tcPr>
            <w:tcW w:w="1145"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车站通道</w:t>
            </w:r>
          </w:p>
        </w:tc>
        <w:tc>
          <w:tcPr>
            <w:tcW w:w="1670" w:type="dxa"/>
            <w:tcBorders>
              <w:top w:val="single" w:color="auto" w:sz="4" w:space="0"/>
              <w:left w:val="nil"/>
              <w:bottom w:val="single" w:color="auto" w:sz="4" w:space="0"/>
              <w:right w:val="single" w:color="auto" w:sz="4" w:space="0"/>
            </w:tcBorders>
            <w:vAlign w:val="center"/>
          </w:tcPr>
          <w:p>
            <w:pPr>
              <w:pStyle w:val="5"/>
              <w:spacing w:line="360" w:lineRule="auto"/>
              <w:ind w:firstLine="0" w:firstLineChars="0"/>
              <w:jc w:val="center"/>
              <w:outlineLvl w:val="9"/>
              <w:rPr>
                <w:rFonts w:hint="eastAsia" w:hAnsi="宋体"/>
                <w:color w:val="000000"/>
                <w:kern w:val="58"/>
                <w:sz w:val="21"/>
                <w:highlight w:val="none"/>
                <w:lang w:val="en-US" w:eastAsia="zh-CN"/>
              </w:rPr>
            </w:pPr>
            <w:r>
              <w:rPr>
                <w:rFonts w:hint="eastAsia" w:hAnsi="宋体"/>
                <w:b w:val="0"/>
                <w:bCs w:val="0"/>
                <w:color w:val="000000"/>
                <w:kern w:val="58"/>
                <w:sz w:val="21"/>
                <w:highlight w:val="none"/>
                <w:lang w:val="en-US" w:eastAsia="zh-CN"/>
              </w:rPr>
              <w:t>冠龙、株洲南方、春江阀门</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tc>
        <w:tc>
          <w:tcPr>
            <w:tcW w:w="3457"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tc>
      </w:tr>
      <w:tr>
        <w:tblPrEx>
          <w:tblLayout w:type="fixed"/>
          <w:tblCellMar>
            <w:top w:w="0" w:type="dxa"/>
            <w:left w:w="108" w:type="dxa"/>
            <w:bottom w:w="0" w:type="dxa"/>
            <w:right w:w="108" w:type="dxa"/>
          </w:tblCellMar>
        </w:tblPrEx>
        <w:trPr>
          <w:trHeight w:val="532" w:hRule="atLeast"/>
        </w:trPr>
        <w:tc>
          <w:tcPr>
            <w:tcW w:w="726"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hAnsi="宋体"/>
                <w:color w:val="000000"/>
                <w:kern w:val="58"/>
                <w:sz w:val="21"/>
                <w:highlight w:val="none"/>
                <w:lang w:val="en-US" w:eastAsia="zh-CN"/>
              </w:rPr>
            </w:pPr>
            <w:r>
              <w:rPr>
                <w:rFonts w:hint="eastAsia" w:hAnsi="宋体"/>
                <w:color w:val="000000"/>
                <w:kern w:val="58"/>
                <w:sz w:val="21"/>
                <w:highlight w:val="none"/>
                <w:lang w:val="en-US" w:eastAsia="zh-CN"/>
              </w:rPr>
              <w:t>12</w:t>
            </w:r>
          </w:p>
        </w:tc>
        <w:tc>
          <w:tcPr>
            <w:tcW w:w="2390" w:type="dxa"/>
            <w:tcBorders>
              <w:top w:val="single" w:color="auto" w:sz="4" w:space="0"/>
              <w:left w:val="nil"/>
              <w:bottom w:val="single" w:color="auto" w:sz="4" w:space="0"/>
              <w:right w:val="single" w:color="auto" w:sz="4" w:space="0"/>
            </w:tcBorders>
            <w:vAlign w:val="center"/>
          </w:tcPr>
          <w:p>
            <w:pPr>
              <w:pStyle w:val="5"/>
              <w:spacing w:line="360" w:lineRule="auto"/>
              <w:ind w:firstLine="0" w:firstLineChars="0"/>
              <w:jc w:val="center"/>
              <w:rPr>
                <w:rFonts w:hint="default" w:hAnsi="宋体"/>
                <w:b/>
                <w:bCs/>
                <w:color w:val="000000"/>
                <w:kern w:val="58"/>
                <w:sz w:val="21"/>
                <w:highlight w:val="none"/>
                <w:lang w:val="en-US" w:eastAsia="zh-CN"/>
              </w:rPr>
            </w:pPr>
            <w:r>
              <w:rPr>
                <w:rFonts w:hint="eastAsia" w:hAnsi="宋体"/>
                <w:color w:val="000000"/>
                <w:kern w:val="58"/>
                <w:sz w:val="21"/>
                <w:highlight w:val="none"/>
                <w:lang w:val="en-US" w:eastAsia="zh-CN"/>
              </w:rPr>
              <w:t>消火栓按钮</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tc>
        <w:tc>
          <w:tcPr>
            <w:tcW w:w="1145"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宋体" w:hAnsi="宋体"/>
                <w:color w:val="000000"/>
                <w:kern w:val="58"/>
                <w:sz w:val="21"/>
                <w:szCs w:val="20"/>
                <w:highlight w:val="none"/>
                <w:lang w:val="en-US" w:eastAsia="zh-CN" w:bidi="ar-SA"/>
              </w:rPr>
            </w:pPr>
            <w:r>
              <w:rPr>
                <w:rFonts w:hint="eastAsia" w:hAnsi="宋体"/>
                <w:color w:val="000000"/>
                <w:kern w:val="58"/>
                <w:sz w:val="21"/>
                <w:highlight w:val="none"/>
                <w:lang w:val="en-US" w:eastAsia="zh-CN"/>
              </w:rPr>
              <w:t>车站通道</w:t>
            </w:r>
          </w:p>
        </w:tc>
        <w:tc>
          <w:tcPr>
            <w:tcW w:w="1670" w:type="dxa"/>
            <w:tcBorders>
              <w:top w:val="single" w:color="auto" w:sz="4" w:space="0"/>
              <w:left w:val="nil"/>
              <w:bottom w:val="single" w:color="auto" w:sz="4" w:space="0"/>
              <w:right w:val="single" w:color="auto" w:sz="4" w:space="0"/>
            </w:tcBorders>
            <w:vAlign w:val="center"/>
          </w:tcPr>
          <w:p>
            <w:pPr>
              <w:pStyle w:val="5"/>
              <w:spacing w:line="360" w:lineRule="auto"/>
              <w:ind w:firstLine="0" w:firstLineChars="0"/>
              <w:jc w:val="center"/>
              <w:outlineLvl w:val="9"/>
              <w:rPr>
                <w:rFonts w:hint="eastAsia" w:hAnsi="宋体"/>
                <w:b w:val="0"/>
                <w:bCs w:val="0"/>
                <w:color w:val="000000"/>
                <w:kern w:val="58"/>
                <w:sz w:val="21"/>
                <w:highlight w:val="none"/>
                <w:lang w:val="en-US" w:eastAsia="zh-CN"/>
              </w:rPr>
            </w:pPr>
            <w:r>
              <w:rPr>
                <w:rFonts w:hint="eastAsia" w:hAnsi="宋体"/>
                <w:b w:val="0"/>
                <w:bCs w:val="0"/>
                <w:color w:val="000000"/>
                <w:kern w:val="58"/>
                <w:sz w:val="21"/>
                <w:highlight w:val="none"/>
                <w:lang w:val="en-US" w:eastAsia="zh-CN"/>
              </w:rPr>
              <w:t>赋安</w:t>
            </w:r>
          </w:p>
          <w:p>
            <w:pPr>
              <w:pStyle w:val="5"/>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tc>
        <w:tc>
          <w:tcPr>
            <w:tcW w:w="3457" w:type="dxa"/>
            <w:tcBorders>
              <w:top w:val="single" w:color="auto" w:sz="4" w:space="0"/>
              <w:left w:val="nil"/>
              <w:bottom w:val="single" w:color="auto" w:sz="4" w:space="0"/>
              <w:right w:val="single" w:color="auto" w:sz="4" w:space="0"/>
            </w:tcBorders>
            <w:vAlign w:val="center"/>
          </w:tcPr>
          <w:p>
            <w:pPr>
              <w:pStyle w:val="5"/>
              <w:spacing w:line="360" w:lineRule="auto"/>
              <w:ind w:firstLine="420" w:firstLineChars="200"/>
              <w:jc w:val="center"/>
              <w:rPr>
                <w:rFonts w:hint="default" w:hAnsi="宋体"/>
                <w:b/>
                <w:bCs/>
                <w:color w:val="000000"/>
                <w:kern w:val="58"/>
                <w:sz w:val="21"/>
                <w:highlight w:val="none"/>
                <w:lang w:val="en-US" w:eastAsia="zh-CN"/>
              </w:rPr>
            </w:pPr>
            <w:r>
              <w:rPr>
                <w:rFonts w:hint="eastAsia" w:hAnsi="宋体"/>
                <w:color w:val="000000"/>
                <w:kern w:val="58"/>
                <w:sz w:val="21"/>
                <w:highlight w:val="none"/>
                <w:lang w:val="en-US" w:eastAsia="zh-CN"/>
              </w:rPr>
              <w:t>与既有设备保持一致</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tc>
      </w:tr>
      <w:tr>
        <w:tblPrEx>
          <w:tblLayout w:type="fixed"/>
          <w:tblCellMar>
            <w:top w:w="0" w:type="dxa"/>
            <w:left w:w="108" w:type="dxa"/>
            <w:bottom w:w="0" w:type="dxa"/>
            <w:right w:w="108" w:type="dxa"/>
          </w:tblCellMar>
        </w:tblPrEx>
        <w:trPr>
          <w:trHeight w:val="532" w:hRule="atLeast"/>
        </w:trPr>
        <w:tc>
          <w:tcPr>
            <w:tcW w:w="726"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hAnsi="宋体"/>
                <w:color w:val="000000"/>
                <w:kern w:val="58"/>
                <w:sz w:val="21"/>
                <w:highlight w:val="none"/>
                <w:lang w:val="en-US" w:eastAsia="zh-CN"/>
              </w:rPr>
            </w:pPr>
            <w:r>
              <w:rPr>
                <w:rFonts w:hint="eastAsia" w:hAnsi="宋体"/>
                <w:color w:val="000000"/>
                <w:kern w:val="58"/>
                <w:sz w:val="21"/>
                <w:highlight w:val="none"/>
                <w:lang w:val="en-US" w:eastAsia="zh-CN"/>
              </w:rPr>
              <w:t>13</w:t>
            </w:r>
          </w:p>
        </w:tc>
        <w:tc>
          <w:tcPr>
            <w:tcW w:w="2390" w:type="dxa"/>
            <w:tcBorders>
              <w:top w:val="single" w:color="auto" w:sz="4" w:space="0"/>
              <w:left w:val="nil"/>
              <w:bottom w:val="single" w:color="auto" w:sz="4" w:space="0"/>
              <w:right w:val="single" w:color="auto" w:sz="4" w:space="0"/>
            </w:tcBorders>
            <w:vAlign w:val="center"/>
          </w:tcPr>
          <w:p>
            <w:pPr>
              <w:pStyle w:val="5"/>
              <w:spacing w:line="360" w:lineRule="auto"/>
              <w:ind w:firstLine="0" w:firstLineChars="0"/>
              <w:jc w:val="center"/>
              <w:rPr>
                <w:rFonts w:hint="eastAsia" w:hAnsi="宋体"/>
                <w:b/>
                <w:bCs/>
                <w:color w:val="000000"/>
                <w:kern w:val="58"/>
                <w:sz w:val="21"/>
                <w:highlight w:val="none"/>
                <w:lang w:val="en-US" w:eastAsia="zh-CN"/>
              </w:rPr>
            </w:pPr>
            <w:r>
              <w:rPr>
                <w:rFonts w:hint="eastAsia" w:hAnsi="宋体"/>
                <w:color w:val="000000"/>
                <w:kern w:val="58"/>
                <w:sz w:val="21"/>
                <w:highlight w:val="none"/>
                <w:lang w:val="en-US" w:eastAsia="zh-CN"/>
              </w:rPr>
              <w:t>手动报警按钮及感烟探测器</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tc>
        <w:tc>
          <w:tcPr>
            <w:tcW w:w="1145"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车站通道</w:t>
            </w:r>
          </w:p>
        </w:tc>
        <w:tc>
          <w:tcPr>
            <w:tcW w:w="1670"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b w:val="0"/>
                <w:bCs w:val="0"/>
                <w:color w:val="000000"/>
                <w:kern w:val="58"/>
                <w:sz w:val="21"/>
                <w:highlight w:val="none"/>
                <w:lang w:val="en-US" w:eastAsia="zh-CN"/>
              </w:rPr>
              <w:t>爱德华</w:t>
            </w:r>
          </w:p>
        </w:tc>
        <w:tc>
          <w:tcPr>
            <w:tcW w:w="3457" w:type="dxa"/>
            <w:tcBorders>
              <w:top w:val="single" w:color="auto" w:sz="4" w:space="0"/>
              <w:left w:val="nil"/>
              <w:bottom w:val="single" w:color="auto" w:sz="4" w:space="0"/>
              <w:right w:val="single" w:color="auto" w:sz="4" w:space="0"/>
            </w:tcBorders>
            <w:vAlign w:val="center"/>
          </w:tcPr>
          <w:p>
            <w:pPr>
              <w:pStyle w:val="5"/>
              <w:spacing w:line="360" w:lineRule="auto"/>
              <w:ind w:firstLine="420" w:firstLineChars="200"/>
              <w:jc w:val="center"/>
              <w:rPr>
                <w:rFonts w:hint="default" w:hAnsi="宋体"/>
                <w:b/>
                <w:bCs/>
                <w:color w:val="000000"/>
                <w:kern w:val="58"/>
                <w:sz w:val="21"/>
                <w:highlight w:val="none"/>
                <w:lang w:val="en-US" w:eastAsia="zh-CN"/>
              </w:rPr>
            </w:pPr>
            <w:r>
              <w:rPr>
                <w:rFonts w:hint="eastAsia" w:hAnsi="宋体"/>
                <w:color w:val="000000"/>
                <w:kern w:val="58"/>
                <w:sz w:val="21"/>
                <w:highlight w:val="none"/>
                <w:lang w:val="en-US" w:eastAsia="zh-CN"/>
              </w:rPr>
              <w:t>与既有设备保持一致</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tc>
      </w:tr>
      <w:tr>
        <w:tblPrEx>
          <w:tblLayout w:type="fixed"/>
          <w:tblCellMar>
            <w:top w:w="0" w:type="dxa"/>
            <w:left w:w="108" w:type="dxa"/>
            <w:bottom w:w="0" w:type="dxa"/>
            <w:right w:w="108" w:type="dxa"/>
          </w:tblCellMar>
        </w:tblPrEx>
        <w:trPr>
          <w:trHeight w:val="532" w:hRule="atLeast"/>
        </w:trPr>
        <w:tc>
          <w:tcPr>
            <w:tcW w:w="726"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hAnsi="宋体"/>
                <w:color w:val="000000"/>
                <w:kern w:val="58"/>
                <w:sz w:val="21"/>
                <w:highlight w:val="none"/>
                <w:lang w:val="en-US" w:eastAsia="zh-CN"/>
              </w:rPr>
            </w:pPr>
            <w:r>
              <w:rPr>
                <w:rFonts w:hint="eastAsia" w:hAnsi="宋体"/>
                <w:color w:val="000000"/>
                <w:kern w:val="58"/>
                <w:sz w:val="21"/>
                <w:highlight w:val="none"/>
                <w:lang w:val="en-US" w:eastAsia="zh-CN"/>
              </w:rPr>
              <w:t>14</w:t>
            </w:r>
          </w:p>
        </w:tc>
        <w:tc>
          <w:tcPr>
            <w:tcW w:w="2390" w:type="dxa"/>
            <w:tcBorders>
              <w:top w:val="single" w:color="auto" w:sz="4" w:space="0"/>
              <w:left w:val="nil"/>
              <w:bottom w:val="single" w:color="auto" w:sz="4" w:space="0"/>
              <w:right w:val="single" w:color="auto" w:sz="4" w:space="0"/>
            </w:tcBorders>
            <w:vAlign w:val="center"/>
          </w:tcPr>
          <w:p>
            <w:pPr>
              <w:pStyle w:val="5"/>
              <w:spacing w:line="360" w:lineRule="auto"/>
              <w:ind w:firstLine="0" w:firstLineChars="0"/>
              <w:jc w:val="center"/>
              <w:rPr>
                <w:rFonts w:hint="default" w:hAnsi="宋体"/>
                <w:b/>
                <w:bCs/>
                <w:color w:val="000000"/>
                <w:kern w:val="58"/>
                <w:sz w:val="21"/>
                <w:highlight w:val="none"/>
                <w:lang w:val="en-US" w:eastAsia="zh-CN"/>
              </w:rPr>
            </w:pPr>
            <w:r>
              <w:rPr>
                <w:rFonts w:hint="eastAsia" w:hAnsi="宋体"/>
                <w:color w:val="000000"/>
                <w:kern w:val="58"/>
                <w:sz w:val="21"/>
                <w:highlight w:val="none"/>
                <w:lang w:val="en-US" w:eastAsia="zh-CN"/>
              </w:rPr>
              <w:t>带地址电话插孔</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tc>
        <w:tc>
          <w:tcPr>
            <w:tcW w:w="1145"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宋体" w:hAnsi="宋体"/>
                <w:color w:val="000000"/>
                <w:kern w:val="58"/>
                <w:sz w:val="21"/>
                <w:szCs w:val="20"/>
                <w:highlight w:val="none"/>
                <w:lang w:val="en-US" w:eastAsia="zh-CN" w:bidi="ar-SA"/>
              </w:rPr>
            </w:pPr>
            <w:r>
              <w:rPr>
                <w:rFonts w:hint="eastAsia" w:hAnsi="宋体"/>
                <w:color w:val="000000"/>
                <w:kern w:val="58"/>
                <w:sz w:val="21"/>
                <w:highlight w:val="none"/>
                <w:lang w:val="en-US" w:eastAsia="zh-CN"/>
              </w:rPr>
              <w:t>车站通道</w:t>
            </w:r>
          </w:p>
        </w:tc>
        <w:tc>
          <w:tcPr>
            <w:tcW w:w="1670" w:type="dxa"/>
            <w:tcBorders>
              <w:top w:val="single" w:color="auto" w:sz="4" w:space="0"/>
              <w:left w:val="nil"/>
              <w:bottom w:val="single" w:color="auto" w:sz="4" w:space="0"/>
              <w:right w:val="single" w:color="auto" w:sz="4" w:space="0"/>
            </w:tcBorders>
            <w:vAlign w:val="center"/>
          </w:tcPr>
          <w:p>
            <w:pPr>
              <w:pStyle w:val="5"/>
              <w:spacing w:line="360" w:lineRule="auto"/>
              <w:ind w:firstLine="0" w:firstLineChars="0"/>
              <w:jc w:val="center"/>
              <w:outlineLvl w:val="9"/>
              <w:rPr>
                <w:rFonts w:hint="eastAsia" w:hAnsi="宋体"/>
                <w:b w:val="0"/>
                <w:bCs w:val="0"/>
                <w:color w:val="000000"/>
                <w:kern w:val="58"/>
                <w:sz w:val="21"/>
                <w:highlight w:val="none"/>
                <w:lang w:val="en-US" w:eastAsia="zh-CN"/>
              </w:rPr>
            </w:pPr>
            <w:r>
              <w:rPr>
                <w:rFonts w:hint="eastAsia" w:hAnsi="宋体"/>
                <w:b w:val="0"/>
                <w:bCs w:val="0"/>
                <w:color w:val="000000"/>
                <w:kern w:val="58"/>
                <w:sz w:val="21"/>
                <w:highlight w:val="none"/>
                <w:lang w:val="en-US" w:eastAsia="zh-CN"/>
              </w:rPr>
              <w:t>北京恒业</w:t>
            </w:r>
          </w:p>
          <w:p>
            <w:pPr>
              <w:pStyle w:val="5"/>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tc>
        <w:tc>
          <w:tcPr>
            <w:tcW w:w="3457" w:type="dxa"/>
            <w:tcBorders>
              <w:top w:val="single" w:color="auto" w:sz="4" w:space="0"/>
              <w:left w:val="nil"/>
              <w:bottom w:val="single" w:color="auto" w:sz="4" w:space="0"/>
              <w:right w:val="single" w:color="auto" w:sz="4" w:space="0"/>
            </w:tcBorders>
            <w:vAlign w:val="center"/>
          </w:tcPr>
          <w:p>
            <w:pPr>
              <w:pStyle w:val="5"/>
              <w:spacing w:line="360" w:lineRule="auto"/>
              <w:ind w:firstLine="420" w:firstLineChars="200"/>
              <w:jc w:val="center"/>
              <w:rPr>
                <w:rFonts w:hint="default" w:hAnsi="宋体"/>
                <w:b/>
                <w:bCs/>
                <w:color w:val="000000"/>
                <w:kern w:val="58"/>
                <w:sz w:val="21"/>
                <w:highlight w:val="none"/>
                <w:lang w:val="en-US" w:eastAsia="zh-CN"/>
              </w:rPr>
            </w:pPr>
            <w:r>
              <w:rPr>
                <w:rFonts w:hint="eastAsia" w:hAnsi="宋体"/>
                <w:color w:val="000000"/>
                <w:kern w:val="58"/>
                <w:sz w:val="21"/>
                <w:highlight w:val="none"/>
                <w:lang w:val="en-US" w:eastAsia="zh-CN"/>
              </w:rPr>
              <w:t>与既有设备保持一致</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tc>
      </w:tr>
      <w:tr>
        <w:tblPrEx>
          <w:tblLayout w:type="fixed"/>
          <w:tblCellMar>
            <w:top w:w="0" w:type="dxa"/>
            <w:left w:w="108" w:type="dxa"/>
            <w:bottom w:w="0" w:type="dxa"/>
            <w:right w:w="108" w:type="dxa"/>
          </w:tblCellMar>
        </w:tblPrEx>
        <w:trPr>
          <w:trHeight w:val="532" w:hRule="atLeast"/>
        </w:trPr>
        <w:tc>
          <w:tcPr>
            <w:tcW w:w="726"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hAnsi="宋体"/>
                <w:color w:val="000000"/>
                <w:kern w:val="58"/>
                <w:sz w:val="21"/>
                <w:highlight w:val="none"/>
                <w:lang w:val="en-US" w:eastAsia="zh-CN"/>
              </w:rPr>
            </w:pPr>
            <w:r>
              <w:rPr>
                <w:rFonts w:hint="eastAsia" w:hAnsi="宋体"/>
                <w:color w:val="000000"/>
                <w:kern w:val="58"/>
                <w:sz w:val="21"/>
                <w:highlight w:val="none"/>
                <w:lang w:val="en-US" w:eastAsia="zh-CN"/>
              </w:rPr>
              <w:t>15</w:t>
            </w:r>
          </w:p>
        </w:tc>
        <w:tc>
          <w:tcPr>
            <w:tcW w:w="2390" w:type="dxa"/>
            <w:tcBorders>
              <w:top w:val="single" w:color="auto" w:sz="4" w:space="0"/>
              <w:left w:val="nil"/>
              <w:bottom w:val="single" w:color="auto" w:sz="4" w:space="0"/>
              <w:right w:val="single" w:color="auto" w:sz="4" w:space="0"/>
            </w:tcBorders>
            <w:vAlign w:val="center"/>
          </w:tcPr>
          <w:p>
            <w:pPr>
              <w:pStyle w:val="5"/>
              <w:spacing w:line="360" w:lineRule="auto"/>
              <w:ind w:firstLine="0" w:firstLineChars="0"/>
              <w:jc w:val="center"/>
              <w:rPr>
                <w:rFonts w:hint="eastAsia" w:hAnsi="宋体"/>
                <w:color w:val="000000"/>
                <w:kern w:val="58"/>
                <w:sz w:val="21"/>
                <w:highlight w:val="none"/>
                <w:lang w:eastAsia="zh-CN"/>
              </w:rPr>
            </w:pPr>
            <w:r>
              <w:rPr>
                <w:rFonts w:hint="eastAsia" w:hAnsi="宋体"/>
                <w:color w:val="000000"/>
                <w:kern w:val="58"/>
                <w:sz w:val="21"/>
                <w:highlight w:val="none"/>
                <w:lang w:val="en-US" w:eastAsia="zh-CN"/>
              </w:rPr>
              <w:t>12位模块箱</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tc>
        <w:tc>
          <w:tcPr>
            <w:tcW w:w="1145"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宋体" w:hAnsi="宋体"/>
                <w:color w:val="000000"/>
                <w:kern w:val="58"/>
                <w:sz w:val="21"/>
                <w:szCs w:val="20"/>
                <w:highlight w:val="none"/>
                <w:lang w:val="en-US" w:eastAsia="zh-CN" w:bidi="ar-SA"/>
              </w:rPr>
            </w:pPr>
            <w:r>
              <w:rPr>
                <w:rFonts w:hint="eastAsia" w:hAnsi="宋体"/>
                <w:color w:val="000000"/>
                <w:kern w:val="58"/>
                <w:sz w:val="21"/>
                <w:highlight w:val="none"/>
                <w:lang w:val="en-US" w:eastAsia="zh-CN"/>
              </w:rPr>
              <w:t>车站通道</w:t>
            </w:r>
          </w:p>
        </w:tc>
        <w:tc>
          <w:tcPr>
            <w:tcW w:w="1670" w:type="dxa"/>
            <w:tcBorders>
              <w:top w:val="single" w:color="auto" w:sz="4" w:space="0"/>
              <w:left w:val="nil"/>
              <w:bottom w:val="single" w:color="auto" w:sz="4" w:space="0"/>
              <w:right w:val="single" w:color="auto" w:sz="4" w:space="0"/>
            </w:tcBorders>
            <w:vAlign w:val="center"/>
          </w:tcPr>
          <w:p>
            <w:pPr>
              <w:pStyle w:val="5"/>
              <w:spacing w:line="360" w:lineRule="auto"/>
              <w:ind w:firstLine="0" w:firstLineChars="0"/>
              <w:jc w:val="center"/>
              <w:outlineLvl w:val="9"/>
              <w:rPr>
                <w:rFonts w:hint="eastAsia" w:hAnsi="宋体"/>
                <w:color w:val="000000"/>
                <w:kern w:val="58"/>
                <w:sz w:val="21"/>
                <w:highlight w:val="none"/>
                <w:lang w:eastAsia="zh-CN"/>
              </w:rPr>
            </w:pPr>
            <w:r>
              <w:rPr>
                <w:rFonts w:hint="eastAsia" w:hAnsi="宋体"/>
                <w:b w:val="0"/>
                <w:bCs w:val="0"/>
                <w:color w:val="000000"/>
                <w:kern w:val="58"/>
                <w:sz w:val="21"/>
                <w:highlight w:val="none"/>
                <w:lang w:val="en-US" w:eastAsia="zh-CN"/>
              </w:rPr>
              <w:t>永森（箱体）爱德华（模块）</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tc>
        <w:tc>
          <w:tcPr>
            <w:tcW w:w="3457" w:type="dxa"/>
            <w:tcBorders>
              <w:top w:val="single" w:color="auto" w:sz="4" w:space="0"/>
              <w:left w:val="nil"/>
              <w:bottom w:val="single" w:color="auto" w:sz="4" w:space="0"/>
              <w:right w:val="single" w:color="auto" w:sz="4" w:space="0"/>
            </w:tcBorders>
            <w:vAlign w:val="center"/>
          </w:tcPr>
          <w:p>
            <w:pPr>
              <w:pStyle w:val="5"/>
              <w:spacing w:line="360" w:lineRule="auto"/>
              <w:ind w:firstLine="420" w:firstLineChars="200"/>
              <w:jc w:val="center"/>
              <w:rPr>
                <w:rFonts w:hint="default" w:hAnsi="宋体"/>
                <w:b/>
                <w:bCs/>
                <w:color w:val="000000"/>
                <w:kern w:val="58"/>
                <w:sz w:val="21"/>
                <w:highlight w:val="none"/>
                <w:lang w:val="en-US" w:eastAsia="zh-CN"/>
              </w:rPr>
            </w:pPr>
            <w:r>
              <w:rPr>
                <w:rFonts w:hint="eastAsia" w:hAnsi="宋体"/>
                <w:color w:val="000000"/>
                <w:kern w:val="58"/>
                <w:sz w:val="21"/>
                <w:highlight w:val="none"/>
                <w:lang w:val="en-US" w:eastAsia="zh-CN"/>
              </w:rPr>
              <w:t>与既有设备保持一致</w:t>
            </w: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p>
        </w:tc>
      </w:tr>
      <w:tr>
        <w:tblPrEx>
          <w:tblLayout w:type="fixed"/>
          <w:tblCellMar>
            <w:top w:w="0" w:type="dxa"/>
            <w:left w:w="108" w:type="dxa"/>
            <w:bottom w:w="0" w:type="dxa"/>
            <w:right w:w="108" w:type="dxa"/>
          </w:tblCellMar>
        </w:tblPrEx>
        <w:trPr>
          <w:trHeight w:val="532" w:hRule="atLeast"/>
        </w:trPr>
        <w:tc>
          <w:tcPr>
            <w:tcW w:w="726"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hAnsi="宋体"/>
                <w:color w:val="000000"/>
                <w:kern w:val="58"/>
                <w:sz w:val="21"/>
                <w:highlight w:val="none"/>
                <w:lang w:val="en-US" w:eastAsia="zh-CN"/>
              </w:rPr>
            </w:pPr>
            <w:r>
              <w:rPr>
                <w:rFonts w:hint="eastAsia" w:hAnsi="宋体"/>
                <w:color w:val="000000"/>
                <w:kern w:val="58"/>
                <w:sz w:val="21"/>
                <w:highlight w:val="none"/>
                <w:lang w:val="en-US" w:eastAsia="zh-CN"/>
              </w:rPr>
              <w:t>16</w:t>
            </w:r>
          </w:p>
        </w:tc>
        <w:tc>
          <w:tcPr>
            <w:tcW w:w="2390"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hAnsi="宋体"/>
                <w:color w:val="000000"/>
                <w:kern w:val="58"/>
                <w:sz w:val="21"/>
                <w:highlight w:val="none"/>
                <w:lang w:val="en-US" w:eastAsia="zh-CN"/>
              </w:rPr>
            </w:pPr>
            <w:r>
              <w:rPr>
                <w:rFonts w:hint="eastAsia" w:hAnsi="宋体"/>
                <w:color w:val="000000"/>
                <w:kern w:val="58"/>
                <w:sz w:val="21"/>
                <w:highlight w:val="none"/>
                <w:lang w:val="en-US" w:eastAsia="zh-CN"/>
              </w:rPr>
              <w:t>扬声器</w:t>
            </w:r>
          </w:p>
        </w:tc>
        <w:tc>
          <w:tcPr>
            <w:tcW w:w="1145"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车站通道</w:t>
            </w:r>
          </w:p>
        </w:tc>
        <w:tc>
          <w:tcPr>
            <w:tcW w:w="1670"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center"/>
              <w:textAlignment w:val="auto"/>
              <w:outlineLvl w:val="9"/>
              <w:rPr>
                <w:rFonts w:hint="default" w:hAnsi="宋体"/>
                <w:color w:val="000000"/>
                <w:kern w:val="58"/>
                <w:sz w:val="21"/>
                <w:highlight w:val="none"/>
                <w:lang w:val="en-US" w:eastAsia="zh-CN"/>
              </w:rPr>
            </w:pPr>
            <w:r>
              <w:rPr>
                <w:rFonts w:hint="eastAsia" w:hAnsi="宋体"/>
                <w:color w:val="000000"/>
                <w:kern w:val="58"/>
                <w:sz w:val="21"/>
                <w:highlight w:val="none"/>
                <w:lang w:val="en-US" w:eastAsia="zh-CN"/>
              </w:rPr>
              <w:t>博世</w:t>
            </w:r>
          </w:p>
        </w:tc>
        <w:tc>
          <w:tcPr>
            <w:tcW w:w="3457"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center"/>
              <w:textAlignment w:val="auto"/>
              <w:outlineLvl w:val="9"/>
              <w:rPr>
                <w:rFonts w:hint="eastAsia" w:hAnsi="宋体"/>
                <w:color w:val="000000"/>
                <w:kern w:val="58"/>
                <w:sz w:val="21"/>
                <w:highlight w:val="none"/>
                <w:lang w:val="en-US" w:eastAsia="zh-CN"/>
              </w:rPr>
            </w:pPr>
            <w:r>
              <w:rPr>
                <w:rFonts w:hint="eastAsia" w:hAnsi="宋体"/>
                <w:color w:val="000000"/>
                <w:kern w:val="58"/>
                <w:sz w:val="21"/>
                <w:highlight w:val="none"/>
                <w:lang w:val="en-US" w:eastAsia="zh-CN"/>
              </w:rPr>
              <w:t>与既有设备保持一致</w:t>
            </w:r>
          </w:p>
        </w:tc>
      </w:tr>
      <w:tr>
        <w:tblPrEx>
          <w:tblLayout w:type="fixed"/>
          <w:tblCellMar>
            <w:top w:w="0" w:type="dxa"/>
            <w:left w:w="108" w:type="dxa"/>
            <w:bottom w:w="0" w:type="dxa"/>
            <w:right w:w="108" w:type="dxa"/>
          </w:tblCellMar>
        </w:tblPrEx>
        <w:trPr>
          <w:trHeight w:val="532" w:hRule="atLeast"/>
        </w:trPr>
        <w:tc>
          <w:tcPr>
            <w:tcW w:w="726"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宋体" w:hAnsi="宋体"/>
                <w:color w:val="000000"/>
                <w:kern w:val="58"/>
                <w:sz w:val="21"/>
                <w:szCs w:val="20"/>
                <w:highlight w:val="none"/>
                <w:lang w:val="en-US" w:eastAsia="zh-CN" w:bidi="ar-SA"/>
              </w:rPr>
            </w:pPr>
            <w:r>
              <w:rPr>
                <w:rFonts w:hint="eastAsia" w:hAnsi="宋体"/>
                <w:color w:val="000000"/>
                <w:kern w:val="58"/>
                <w:sz w:val="21"/>
                <w:highlight w:val="none"/>
                <w:lang w:val="en-US" w:eastAsia="zh-CN"/>
              </w:rPr>
              <w:t>17</w:t>
            </w:r>
          </w:p>
        </w:tc>
        <w:tc>
          <w:tcPr>
            <w:tcW w:w="2390"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宋体" w:hAnsi="宋体"/>
                <w:color w:val="000000"/>
                <w:kern w:val="58"/>
                <w:sz w:val="21"/>
                <w:szCs w:val="20"/>
                <w:highlight w:val="none"/>
                <w:lang w:val="en-US" w:eastAsia="zh-CN" w:bidi="ar-SA"/>
              </w:rPr>
            </w:pPr>
            <w:r>
              <w:rPr>
                <w:rFonts w:hint="eastAsia" w:hAnsi="宋体"/>
                <w:color w:val="000000"/>
                <w:kern w:val="58"/>
                <w:sz w:val="21"/>
                <w:highlight w:val="none"/>
              </w:rPr>
              <w:t>室内全向天线</w:t>
            </w:r>
          </w:p>
        </w:tc>
        <w:tc>
          <w:tcPr>
            <w:tcW w:w="1145"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宋体" w:hAnsi="宋体"/>
                <w:color w:val="000000"/>
                <w:kern w:val="58"/>
                <w:sz w:val="21"/>
                <w:szCs w:val="20"/>
                <w:highlight w:val="none"/>
                <w:lang w:val="en-US" w:eastAsia="zh-CN" w:bidi="ar-SA"/>
              </w:rPr>
            </w:pPr>
            <w:r>
              <w:rPr>
                <w:rFonts w:hint="eastAsia" w:hAnsi="宋体"/>
                <w:color w:val="000000"/>
                <w:kern w:val="58"/>
                <w:sz w:val="21"/>
                <w:highlight w:val="none"/>
                <w:lang w:val="en-US" w:eastAsia="zh-CN"/>
              </w:rPr>
              <w:t>车站通道</w:t>
            </w:r>
          </w:p>
        </w:tc>
        <w:tc>
          <w:tcPr>
            <w:tcW w:w="1670"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center"/>
              <w:textAlignment w:val="auto"/>
              <w:outlineLvl w:val="9"/>
              <w:rPr>
                <w:rFonts w:hint="eastAsia" w:ascii="宋体" w:hAnsi="宋体"/>
                <w:color w:val="000000"/>
                <w:kern w:val="58"/>
                <w:sz w:val="21"/>
                <w:szCs w:val="20"/>
                <w:highlight w:val="none"/>
                <w:lang w:val="en-US" w:eastAsia="zh-CN" w:bidi="ar-SA"/>
              </w:rPr>
            </w:pPr>
            <w:r>
              <w:rPr>
                <w:rFonts w:hint="eastAsia" w:hAnsi="宋体"/>
                <w:color w:val="000000"/>
                <w:kern w:val="58"/>
                <w:sz w:val="21"/>
                <w:highlight w:val="none"/>
                <w:lang w:val="en-US" w:eastAsia="zh-CN"/>
              </w:rPr>
              <w:t>广州维德</w:t>
            </w:r>
          </w:p>
        </w:tc>
        <w:tc>
          <w:tcPr>
            <w:tcW w:w="3457"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center"/>
              <w:textAlignment w:val="auto"/>
              <w:outlineLvl w:val="9"/>
              <w:rPr>
                <w:rFonts w:hint="eastAsia" w:ascii="宋体" w:hAnsi="宋体"/>
                <w:color w:val="000000"/>
                <w:kern w:val="58"/>
                <w:sz w:val="21"/>
                <w:szCs w:val="20"/>
                <w:highlight w:val="none"/>
                <w:lang w:val="en-US" w:eastAsia="zh-CN" w:bidi="ar-SA"/>
              </w:rPr>
            </w:pPr>
            <w:r>
              <w:rPr>
                <w:rFonts w:hint="eastAsia" w:hAnsi="宋体"/>
                <w:color w:val="000000"/>
                <w:kern w:val="58"/>
                <w:sz w:val="21"/>
                <w:highlight w:val="none"/>
                <w:lang w:val="en-US" w:eastAsia="zh-CN"/>
              </w:rPr>
              <w:t>与既有设备保持一致</w:t>
            </w:r>
          </w:p>
        </w:tc>
      </w:tr>
      <w:tr>
        <w:tblPrEx>
          <w:tblLayout w:type="fixed"/>
          <w:tblCellMar>
            <w:top w:w="0" w:type="dxa"/>
            <w:left w:w="108" w:type="dxa"/>
            <w:bottom w:w="0" w:type="dxa"/>
            <w:right w:w="108" w:type="dxa"/>
          </w:tblCellMar>
        </w:tblPrEx>
        <w:trPr>
          <w:trHeight w:val="532" w:hRule="atLeast"/>
        </w:trPr>
        <w:tc>
          <w:tcPr>
            <w:tcW w:w="726"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ascii="宋体" w:hAnsi="宋体"/>
                <w:color w:val="000000"/>
                <w:kern w:val="58"/>
                <w:sz w:val="21"/>
                <w:szCs w:val="20"/>
                <w:highlight w:val="none"/>
                <w:lang w:val="en-US" w:eastAsia="zh-CN" w:bidi="ar-SA"/>
              </w:rPr>
            </w:pPr>
            <w:r>
              <w:rPr>
                <w:rFonts w:hint="eastAsia" w:hAnsi="宋体"/>
                <w:color w:val="000000"/>
                <w:kern w:val="58"/>
                <w:sz w:val="21"/>
                <w:highlight w:val="none"/>
                <w:lang w:val="en-US" w:eastAsia="zh-CN"/>
              </w:rPr>
              <w:t>18</w:t>
            </w:r>
          </w:p>
        </w:tc>
        <w:tc>
          <w:tcPr>
            <w:tcW w:w="2390"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宋体" w:hAnsi="宋体"/>
                <w:color w:val="000000"/>
                <w:kern w:val="58"/>
                <w:sz w:val="21"/>
                <w:szCs w:val="20"/>
                <w:highlight w:val="none"/>
                <w:lang w:val="en-US" w:eastAsia="zh-CN" w:bidi="ar-SA"/>
              </w:rPr>
            </w:pPr>
            <w:r>
              <w:rPr>
                <w:rFonts w:hint="eastAsia" w:hAnsi="宋体"/>
                <w:color w:val="000000"/>
                <w:kern w:val="58"/>
                <w:sz w:val="21"/>
                <w:highlight w:val="none"/>
                <w:lang w:val="en-US" w:eastAsia="zh-CN"/>
              </w:rPr>
              <w:t>耦合器</w:t>
            </w:r>
          </w:p>
        </w:tc>
        <w:tc>
          <w:tcPr>
            <w:tcW w:w="1145"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宋体" w:hAnsi="宋体"/>
                <w:color w:val="000000"/>
                <w:kern w:val="58"/>
                <w:sz w:val="21"/>
                <w:szCs w:val="20"/>
                <w:highlight w:val="none"/>
                <w:lang w:val="en-US" w:eastAsia="zh-CN" w:bidi="ar-SA"/>
              </w:rPr>
            </w:pPr>
            <w:r>
              <w:rPr>
                <w:rFonts w:hint="eastAsia" w:hAnsi="宋体"/>
                <w:color w:val="000000"/>
                <w:kern w:val="58"/>
                <w:sz w:val="21"/>
                <w:highlight w:val="none"/>
                <w:lang w:val="en-US" w:eastAsia="zh-CN"/>
              </w:rPr>
              <w:t>车站通道</w:t>
            </w:r>
          </w:p>
        </w:tc>
        <w:tc>
          <w:tcPr>
            <w:tcW w:w="1670"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center"/>
              <w:textAlignment w:val="auto"/>
              <w:outlineLvl w:val="9"/>
              <w:rPr>
                <w:rFonts w:hint="eastAsia" w:ascii="宋体" w:hAnsi="宋体"/>
                <w:color w:val="000000"/>
                <w:kern w:val="58"/>
                <w:sz w:val="21"/>
                <w:szCs w:val="20"/>
                <w:highlight w:val="none"/>
                <w:lang w:val="en-US" w:eastAsia="zh-CN" w:bidi="ar-SA"/>
              </w:rPr>
            </w:pPr>
            <w:r>
              <w:rPr>
                <w:rFonts w:hint="eastAsia" w:hAnsi="宋体"/>
                <w:color w:val="000000"/>
                <w:kern w:val="58"/>
                <w:sz w:val="21"/>
                <w:highlight w:val="none"/>
                <w:lang w:val="en-US" w:eastAsia="zh-CN"/>
              </w:rPr>
              <w:t>广州维德</w:t>
            </w:r>
          </w:p>
        </w:tc>
        <w:tc>
          <w:tcPr>
            <w:tcW w:w="3457"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center"/>
              <w:textAlignment w:val="auto"/>
              <w:outlineLvl w:val="9"/>
              <w:rPr>
                <w:rFonts w:hint="eastAsia" w:ascii="宋体" w:hAnsi="宋体"/>
                <w:color w:val="000000"/>
                <w:kern w:val="58"/>
                <w:sz w:val="21"/>
                <w:szCs w:val="20"/>
                <w:highlight w:val="none"/>
                <w:lang w:val="en-US" w:eastAsia="zh-CN" w:bidi="ar-SA"/>
              </w:rPr>
            </w:pPr>
            <w:r>
              <w:rPr>
                <w:rFonts w:hint="eastAsia" w:hAnsi="宋体"/>
                <w:color w:val="000000"/>
                <w:kern w:val="58"/>
                <w:sz w:val="21"/>
                <w:highlight w:val="none"/>
                <w:lang w:val="en-US" w:eastAsia="zh-CN"/>
              </w:rPr>
              <w:t>与既有设备保持一致</w:t>
            </w:r>
          </w:p>
        </w:tc>
      </w:tr>
      <w:tr>
        <w:tblPrEx>
          <w:tblLayout w:type="fixed"/>
          <w:tblCellMar>
            <w:top w:w="0" w:type="dxa"/>
            <w:left w:w="108" w:type="dxa"/>
            <w:bottom w:w="0" w:type="dxa"/>
            <w:right w:w="108" w:type="dxa"/>
          </w:tblCellMar>
        </w:tblPrEx>
        <w:trPr>
          <w:trHeight w:val="532" w:hRule="atLeast"/>
        </w:trPr>
        <w:tc>
          <w:tcPr>
            <w:tcW w:w="726"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宋体" w:hAnsi="宋体"/>
                <w:color w:val="000000"/>
                <w:kern w:val="58"/>
                <w:sz w:val="21"/>
                <w:szCs w:val="20"/>
                <w:highlight w:val="none"/>
                <w:lang w:val="en-US" w:eastAsia="zh-CN" w:bidi="ar-SA"/>
              </w:rPr>
            </w:pPr>
            <w:r>
              <w:rPr>
                <w:rFonts w:hint="eastAsia" w:hAnsi="宋体"/>
                <w:color w:val="000000"/>
                <w:kern w:val="58"/>
                <w:sz w:val="21"/>
                <w:highlight w:val="none"/>
                <w:lang w:val="en-US" w:eastAsia="zh-CN"/>
              </w:rPr>
              <w:t>19</w:t>
            </w:r>
          </w:p>
        </w:tc>
        <w:tc>
          <w:tcPr>
            <w:tcW w:w="2390"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宋体" w:hAnsi="宋体"/>
                <w:color w:val="000000"/>
                <w:kern w:val="58"/>
                <w:sz w:val="21"/>
                <w:szCs w:val="20"/>
                <w:highlight w:val="none"/>
                <w:lang w:val="en-US" w:eastAsia="zh-CN" w:bidi="ar-SA"/>
              </w:rPr>
            </w:pPr>
            <w:r>
              <w:rPr>
                <w:rFonts w:hint="eastAsia" w:hAnsi="宋体"/>
                <w:color w:val="000000"/>
                <w:kern w:val="58"/>
                <w:sz w:val="21"/>
                <w:highlight w:val="none"/>
                <w:lang w:val="en-US" w:eastAsia="zh-CN"/>
              </w:rPr>
              <w:t>功分器</w:t>
            </w:r>
          </w:p>
        </w:tc>
        <w:tc>
          <w:tcPr>
            <w:tcW w:w="1145" w:type="dxa"/>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宋体" w:hAnsi="宋体"/>
                <w:color w:val="000000"/>
                <w:kern w:val="58"/>
                <w:sz w:val="21"/>
                <w:szCs w:val="20"/>
                <w:highlight w:val="none"/>
                <w:lang w:val="en-US" w:eastAsia="zh-CN" w:bidi="ar-SA"/>
              </w:rPr>
            </w:pPr>
            <w:r>
              <w:rPr>
                <w:rFonts w:hint="eastAsia" w:hAnsi="宋体"/>
                <w:color w:val="000000"/>
                <w:kern w:val="58"/>
                <w:sz w:val="21"/>
                <w:highlight w:val="none"/>
                <w:lang w:val="en-US" w:eastAsia="zh-CN"/>
              </w:rPr>
              <w:t>车站通道</w:t>
            </w:r>
          </w:p>
        </w:tc>
        <w:tc>
          <w:tcPr>
            <w:tcW w:w="1670"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center"/>
              <w:textAlignment w:val="auto"/>
              <w:outlineLvl w:val="9"/>
              <w:rPr>
                <w:rFonts w:hint="eastAsia" w:ascii="宋体" w:hAnsi="宋体"/>
                <w:color w:val="000000"/>
                <w:kern w:val="58"/>
                <w:sz w:val="21"/>
                <w:szCs w:val="20"/>
                <w:highlight w:val="none"/>
                <w:lang w:val="en-US" w:eastAsia="zh-CN" w:bidi="ar-SA"/>
              </w:rPr>
            </w:pPr>
            <w:r>
              <w:rPr>
                <w:rFonts w:hint="eastAsia" w:hAnsi="宋体"/>
                <w:color w:val="000000"/>
                <w:kern w:val="58"/>
                <w:sz w:val="21"/>
                <w:highlight w:val="none"/>
                <w:lang w:val="en-US" w:eastAsia="zh-CN"/>
              </w:rPr>
              <w:t>广州维德</w:t>
            </w:r>
          </w:p>
        </w:tc>
        <w:tc>
          <w:tcPr>
            <w:tcW w:w="3457" w:type="dxa"/>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0" w:firstLineChars="200"/>
              <w:jc w:val="center"/>
              <w:textAlignment w:val="auto"/>
              <w:outlineLvl w:val="9"/>
              <w:rPr>
                <w:rFonts w:hint="eastAsia" w:ascii="宋体" w:hAnsi="宋体"/>
                <w:color w:val="000000"/>
                <w:kern w:val="58"/>
                <w:sz w:val="21"/>
                <w:szCs w:val="20"/>
                <w:highlight w:val="none"/>
                <w:lang w:val="en-US" w:eastAsia="zh-CN" w:bidi="ar-SA"/>
              </w:rPr>
            </w:pPr>
            <w:r>
              <w:rPr>
                <w:rFonts w:hint="eastAsia" w:hAnsi="宋体"/>
                <w:color w:val="000000"/>
                <w:kern w:val="58"/>
                <w:sz w:val="21"/>
                <w:highlight w:val="none"/>
                <w:lang w:val="en-US" w:eastAsia="zh-CN"/>
              </w:rPr>
              <w:t>与既有设备保持一致</w:t>
            </w:r>
          </w:p>
        </w:tc>
      </w:tr>
    </w:tbl>
    <w:p>
      <w:pPr>
        <w:rPr>
          <w:rFonts w:hint="eastAsia"/>
          <w:b/>
          <w:lang w:val="en-US" w:eastAsia="zh-CN"/>
        </w:rPr>
      </w:pPr>
    </w:p>
    <w:p>
      <w:pPr>
        <w:rPr>
          <w:rFonts w:hint="eastAsia"/>
          <w:b/>
        </w:rPr>
      </w:pPr>
      <w:r>
        <w:rPr>
          <w:rFonts w:hint="eastAsia"/>
          <w:b/>
          <w:lang w:val="en-US" w:eastAsia="zh-CN"/>
        </w:rPr>
        <w:t>3.</w:t>
      </w:r>
      <w:r>
        <w:rPr>
          <w:rFonts w:hint="eastAsia"/>
          <w:b/>
        </w:rPr>
        <w:t>项目实施</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3.1、项目及生产组织要求</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项目组织机构、人员要求：</w:t>
      </w:r>
      <w:r>
        <w:rPr>
          <w:rFonts w:hint="eastAsia" w:hAnsi="宋体"/>
          <w:color w:val="000000"/>
          <w:kern w:val="58"/>
          <w:sz w:val="21"/>
          <w:lang w:eastAsia="zh-CN"/>
        </w:rPr>
        <w:t>比选申请人</w:t>
      </w:r>
      <w:r>
        <w:rPr>
          <w:rFonts w:hint="eastAsia" w:hAnsi="宋体"/>
          <w:color w:val="000000"/>
          <w:kern w:val="58"/>
          <w:sz w:val="21"/>
        </w:rPr>
        <w:t>应根据本项目的情况，成立项目组织机构，配置</w:t>
      </w:r>
      <w:r>
        <w:rPr>
          <w:rFonts w:hint="eastAsia" w:hAnsi="宋体"/>
          <w:color w:val="000000"/>
          <w:kern w:val="58"/>
          <w:sz w:val="21"/>
          <w:lang w:eastAsia="zh-CN"/>
        </w:rPr>
        <w:t>相应</w:t>
      </w:r>
      <w:r>
        <w:rPr>
          <w:rFonts w:hint="eastAsia" w:hAnsi="宋体"/>
          <w:color w:val="000000"/>
          <w:kern w:val="58"/>
          <w:sz w:val="21"/>
        </w:rPr>
        <w:t>的人员，并制定项目计划，使项目得以顺利实施。</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3.1.1 、在项目实施过程中，</w:t>
      </w:r>
      <w:r>
        <w:rPr>
          <w:rFonts w:hint="eastAsia" w:hAnsi="宋体"/>
          <w:color w:val="000000"/>
          <w:kern w:val="58"/>
          <w:sz w:val="21"/>
          <w:lang w:eastAsia="zh-CN"/>
        </w:rPr>
        <w:t>比选申请人</w:t>
      </w:r>
      <w:r>
        <w:rPr>
          <w:rFonts w:hint="eastAsia" w:hAnsi="宋体"/>
          <w:color w:val="000000"/>
          <w:kern w:val="58"/>
          <w:sz w:val="21"/>
        </w:rPr>
        <w:t>应指定专职项目负责人接受委托方各项指令和要求。</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3.1.2、 施工一般要求</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 xml:space="preserve">所有的施工人员必须遵守宁波轨道交通集团有限公司运营分公司的施工管理规定，并必须按照施工规范、方案和各项安全操作规程进行作业。全体人员必须持证上岗。 </w:t>
      </w:r>
    </w:p>
    <w:p>
      <w:pPr>
        <w:pStyle w:val="5"/>
        <w:spacing w:line="360" w:lineRule="auto"/>
        <w:ind w:firstLine="420" w:firstLineChars="200"/>
        <w:rPr>
          <w:rFonts w:hint="eastAsia" w:hAnsi="宋体"/>
          <w:color w:val="000000"/>
          <w:kern w:val="58"/>
          <w:sz w:val="21"/>
        </w:rPr>
      </w:pPr>
      <w:r>
        <w:rPr>
          <w:rFonts w:hint="eastAsia" w:hAnsi="宋体"/>
          <w:color w:val="000000"/>
          <w:kern w:val="58"/>
          <w:sz w:val="21"/>
          <w:lang w:eastAsia="zh-CN"/>
        </w:rPr>
        <w:t>比选申请人</w:t>
      </w:r>
      <w:r>
        <w:rPr>
          <w:rFonts w:hint="eastAsia" w:hAnsi="宋体"/>
          <w:color w:val="000000"/>
          <w:kern w:val="58"/>
          <w:sz w:val="21"/>
        </w:rPr>
        <w:t>应对其项目管理机构定岗、定员，服务队伍稳定、人员素质和专业技术结构满足各项要求。因</w:t>
      </w:r>
      <w:r>
        <w:rPr>
          <w:rFonts w:hint="eastAsia" w:hAnsi="宋体"/>
          <w:color w:val="000000"/>
          <w:kern w:val="58"/>
          <w:sz w:val="21"/>
          <w:lang w:eastAsia="zh-CN"/>
        </w:rPr>
        <w:t>比选申请人</w:t>
      </w:r>
      <w:r>
        <w:rPr>
          <w:rFonts w:hint="eastAsia" w:hAnsi="宋体"/>
          <w:color w:val="000000"/>
          <w:kern w:val="58"/>
          <w:sz w:val="21"/>
        </w:rPr>
        <w:t>人员技术水平低，责任性差不符合运营分公司条件，运营分公司有权拒绝使用。</w:t>
      </w:r>
    </w:p>
    <w:p>
      <w:pPr>
        <w:pStyle w:val="5"/>
        <w:spacing w:line="360" w:lineRule="auto"/>
        <w:ind w:firstLine="420" w:firstLineChars="200"/>
        <w:rPr>
          <w:rFonts w:hint="eastAsia" w:hAnsi="宋体"/>
          <w:color w:val="000000"/>
          <w:kern w:val="58"/>
          <w:sz w:val="21"/>
        </w:rPr>
      </w:pPr>
      <w:r>
        <w:rPr>
          <w:rFonts w:hint="eastAsia" w:hAnsi="宋体"/>
          <w:color w:val="000000"/>
          <w:kern w:val="58"/>
          <w:sz w:val="21"/>
          <w:lang w:eastAsia="zh-CN"/>
        </w:rPr>
        <w:t>比选申请人</w:t>
      </w:r>
      <w:r>
        <w:rPr>
          <w:rFonts w:hint="eastAsia" w:hAnsi="宋体"/>
          <w:color w:val="000000"/>
          <w:kern w:val="58"/>
          <w:sz w:val="21"/>
        </w:rPr>
        <w:t>须为其施工人员提供统一着装及相关的劳动防护用品。</w:t>
      </w:r>
    </w:p>
    <w:p>
      <w:pPr>
        <w:pStyle w:val="5"/>
        <w:spacing w:line="360" w:lineRule="auto"/>
        <w:ind w:firstLine="420" w:firstLineChars="200"/>
        <w:rPr>
          <w:rFonts w:hint="eastAsia" w:hAnsi="宋体"/>
          <w:color w:val="000000"/>
          <w:kern w:val="58"/>
          <w:sz w:val="21"/>
        </w:rPr>
      </w:pPr>
      <w:r>
        <w:rPr>
          <w:rFonts w:hint="eastAsia" w:hAnsi="宋体"/>
          <w:color w:val="000000"/>
          <w:kern w:val="58"/>
          <w:sz w:val="21"/>
          <w:lang w:eastAsia="zh-CN"/>
        </w:rPr>
        <w:t>比选申请人</w:t>
      </w:r>
      <w:r>
        <w:rPr>
          <w:rFonts w:hint="eastAsia" w:hAnsi="宋体"/>
          <w:color w:val="000000"/>
          <w:kern w:val="58"/>
          <w:sz w:val="21"/>
        </w:rPr>
        <w:t>应严格遵守和执行国家、地方、行业的相关法律、法规、规范、规程、标准及</w:t>
      </w:r>
      <w:r>
        <w:rPr>
          <w:rFonts w:hint="eastAsia" w:hAnsi="宋体"/>
          <w:color w:val="000000"/>
          <w:kern w:val="58"/>
          <w:sz w:val="21"/>
          <w:lang w:eastAsia="zh-CN"/>
        </w:rPr>
        <w:t>比选发起人</w:t>
      </w:r>
      <w:r>
        <w:rPr>
          <w:rFonts w:hint="eastAsia" w:hAnsi="宋体"/>
          <w:color w:val="000000"/>
          <w:kern w:val="58"/>
          <w:sz w:val="21"/>
        </w:rPr>
        <w:t>的各项管理制度及规定；</w:t>
      </w:r>
      <w:r>
        <w:rPr>
          <w:rFonts w:hint="eastAsia" w:hAnsi="宋体"/>
          <w:color w:val="000000"/>
          <w:kern w:val="58"/>
          <w:sz w:val="21"/>
          <w:lang w:eastAsia="zh-CN"/>
        </w:rPr>
        <w:t>比选申请人</w:t>
      </w:r>
      <w:r>
        <w:rPr>
          <w:rFonts w:hint="eastAsia" w:hAnsi="宋体"/>
          <w:color w:val="000000"/>
          <w:kern w:val="58"/>
          <w:sz w:val="21"/>
        </w:rPr>
        <w:t>应建立健全维修管理体制，建立和不断完善管理制度。</w:t>
      </w:r>
    </w:p>
    <w:p>
      <w:pPr>
        <w:pStyle w:val="5"/>
        <w:spacing w:line="360" w:lineRule="auto"/>
        <w:ind w:firstLine="420" w:firstLineChars="200"/>
        <w:rPr>
          <w:rFonts w:hint="eastAsia" w:hAnsi="宋体"/>
          <w:color w:val="000000"/>
          <w:kern w:val="58"/>
          <w:sz w:val="21"/>
        </w:rPr>
      </w:pPr>
      <w:r>
        <w:rPr>
          <w:rFonts w:hint="eastAsia" w:hAnsi="宋体"/>
          <w:color w:val="000000"/>
          <w:kern w:val="58"/>
          <w:sz w:val="21"/>
          <w:lang w:eastAsia="zh-CN"/>
        </w:rPr>
        <w:t>比选申请人</w:t>
      </w:r>
      <w:r>
        <w:rPr>
          <w:rFonts w:hint="eastAsia" w:hAnsi="宋体"/>
          <w:color w:val="000000"/>
          <w:kern w:val="58"/>
          <w:sz w:val="21"/>
        </w:rPr>
        <w:t>应严格遵守合同，按</w:t>
      </w:r>
      <w:r>
        <w:rPr>
          <w:rFonts w:hint="eastAsia" w:hAnsi="宋体"/>
          <w:color w:val="000000"/>
          <w:kern w:val="58"/>
          <w:sz w:val="21"/>
          <w:lang w:eastAsia="zh-CN"/>
        </w:rPr>
        <w:t>比选发起人</w:t>
      </w:r>
      <w:r>
        <w:rPr>
          <w:rFonts w:hint="eastAsia" w:hAnsi="宋体"/>
          <w:color w:val="000000"/>
          <w:kern w:val="58"/>
          <w:sz w:val="21"/>
        </w:rPr>
        <w:t>要求要求落实合同约定工作内容；</w:t>
      </w:r>
      <w:r>
        <w:rPr>
          <w:rFonts w:hint="eastAsia" w:hAnsi="宋体"/>
          <w:color w:val="000000"/>
          <w:kern w:val="58"/>
          <w:sz w:val="21"/>
          <w:lang w:eastAsia="zh-CN"/>
        </w:rPr>
        <w:t>比选申请人</w:t>
      </w:r>
      <w:r>
        <w:rPr>
          <w:rFonts w:hint="eastAsia" w:hAnsi="宋体"/>
          <w:color w:val="000000"/>
          <w:kern w:val="58"/>
          <w:sz w:val="21"/>
        </w:rPr>
        <w:t>施工人员按照合同要求时间安排进场，开展工作并接受监督与考核。</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 xml:space="preserve"> 在每次施工作业开始前，</w:t>
      </w:r>
      <w:r>
        <w:rPr>
          <w:rFonts w:hint="eastAsia" w:hAnsi="宋体"/>
          <w:color w:val="000000"/>
          <w:kern w:val="58"/>
          <w:sz w:val="21"/>
          <w:lang w:eastAsia="zh-CN"/>
        </w:rPr>
        <w:t>比选申请人</w:t>
      </w:r>
      <w:r>
        <w:rPr>
          <w:rFonts w:hint="eastAsia" w:hAnsi="宋体"/>
          <w:color w:val="000000"/>
          <w:kern w:val="58"/>
          <w:sz w:val="21"/>
        </w:rPr>
        <w:t>人员须与运营分公司指派的当值人员联系并取得同意后方可进行。在每次施工作业结束前，</w:t>
      </w:r>
      <w:r>
        <w:rPr>
          <w:rFonts w:hint="eastAsia" w:hAnsi="宋体"/>
          <w:color w:val="000000"/>
          <w:kern w:val="58"/>
          <w:sz w:val="21"/>
          <w:lang w:eastAsia="zh-CN"/>
        </w:rPr>
        <w:t>比选申请人</w:t>
      </w:r>
      <w:r>
        <w:rPr>
          <w:rFonts w:hint="eastAsia" w:hAnsi="宋体"/>
          <w:color w:val="000000"/>
          <w:kern w:val="58"/>
          <w:sz w:val="21"/>
        </w:rPr>
        <w:t>的施工作业人员须向运营分公司指派的当值人员报告有关设备、系统的状态，故障的原因及修复过程，包括但不限于工作完成、回复正常运行、故障排除等。</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当发现或发生非本合同施工作业的责任事故时，</w:t>
      </w:r>
      <w:r>
        <w:rPr>
          <w:rFonts w:hint="eastAsia" w:hAnsi="宋体"/>
          <w:color w:val="000000"/>
          <w:kern w:val="58"/>
          <w:sz w:val="21"/>
          <w:lang w:eastAsia="zh-CN"/>
        </w:rPr>
        <w:t>比选申请人</w:t>
      </w:r>
      <w:r>
        <w:rPr>
          <w:rFonts w:hint="eastAsia" w:hAnsi="宋体"/>
          <w:color w:val="000000"/>
          <w:kern w:val="58"/>
          <w:sz w:val="21"/>
        </w:rPr>
        <w:t>的工作人员应立即停止使用该设备，并通知运营分公司指派的当值人员。</w:t>
      </w:r>
    </w:p>
    <w:p>
      <w:pPr>
        <w:pStyle w:val="5"/>
        <w:spacing w:line="360" w:lineRule="auto"/>
        <w:ind w:firstLine="420" w:firstLineChars="200"/>
        <w:rPr>
          <w:rFonts w:hint="eastAsia" w:hAnsi="宋体"/>
          <w:color w:val="000000"/>
          <w:kern w:val="58"/>
          <w:sz w:val="21"/>
          <w:highlight w:val="none"/>
        </w:rPr>
      </w:pPr>
      <w:r>
        <w:rPr>
          <w:rFonts w:hint="eastAsia" w:hAnsi="宋体"/>
          <w:color w:val="000000"/>
          <w:kern w:val="58"/>
          <w:sz w:val="21"/>
          <w:highlight w:val="none"/>
          <w:lang w:eastAsia="zh-CN"/>
        </w:rPr>
        <w:t>比选申请人</w:t>
      </w:r>
      <w:r>
        <w:rPr>
          <w:rFonts w:hint="eastAsia" w:hAnsi="宋体"/>
          <w:color w:val="000000"/>
          <w:kern w:val="58"/>
          <w:sz w:val="21"/>
          <w:highlight w:val="none"/>
        </w:rPr>
        <w:t>配备以下施工现场关键岗位人员：项目负责人1人、项目技术负责人1人、施工员≥1人（施工员配备必须满足各专业施工要求）、安全员≥1人。工程项目负责人为该项目第一安全负责人。安全员须对安全技术措施的执行情况，进行监督检查，并做好记录。</w:t>
      </w:r>
    </w:p>
    <w:p>
      <w:pPr>
        <w:pStyle w:val="5"/>
        <w:spacing w:line="360" w:lineRule="auto"/>
        <w:ind w:firstLine="420" w:firstLineChars="200"/>
        <w:rPr>
          <w:rFonts w:hint="eastAsia" w:hAnsi="宋体"/>
          <w:color w:val="000000"/>
          <w:kern w:val="58"/>
          <w:sz w:val="21"/>
        </w:rPr>
      </w:pPr>
      <w:r>
        <w:rPr>
          <w:rFonts w:hint="eastAsia" w:hAnsi="宋体"/>
          <w:color w:val="000000"/>
          <w:kern w:val="58"/>
          <w:sz w:val="21"/>
          <w:lang w:eastAsia="zh-CN"/>
        </w:rPr>
        <w:t>比选申请人</w:t>
      </w:r>
      <w:r>
        <w:rPr>
          <w:rFonts w:hint="eastAsia" w:hAnsi="宋体"/>
          <w:color w:val="000000"/>
          <w:kern w:val="58"/>
          <w:sz w:val="21"/>
        </w:rPr>
        <w:t>应加强安全施工的思想教育，提高施工人员安全第一的责任感。</w:t>
      </w:r>
    </w:p>
    <w:p>
      <w:pPr>
        <w:pStyle w:val="5"/>
        <w:spacing w:line="360" w:lineRule="auto"/>
        <w:ind w:firstLine="420" w:firstLineChars="200"/>
        <w:rPr>
          <w:rFonts w:hint="eastAsia" w:hAnsi="宋体"/>
          <w:color w:val="000000"/>
          <w:kern w:val="58"/>
          <w:sz w:val="21"/>
        </w:rPr>
      </w:pPr>
      <w:r>
        <w:rPr>
          <w:rFonts w:hint="eastAsia" w:hAnsi="宋体"/>
          <w:color w:val="000000"/>
          <w:kern w:val="58"/>
          <w:sz w:val="21"/>
          <w:lang w:eastAsia="zh-CN"/>
        </w:rPr>
        <w:t>比选申请人</w:t>
      </w:r>
      <w:r>
        <w:rPr>
          <w:rFonts w:hint="eastAsia" w:hAnsi="宋体"/>
          <w:color w:val="000000"/>
          <w:kern w:val="58"/>
          <w:sz w:val="21"/>
        </w:rPr>
        <w:t>开展施工作业，应实施班前会，每次施工前要有负责人员向施工人员进行技术交底安全要求交底，未经教育者不得进入施工现场，凡参加安全技术义底的人员要履行签字手续，并保存资料。</w:t>
      </w:r>
    </w:p>
    <w:p>
      <w:pPr>
        <w:pStyle w:val="5"/>
        <w:spacing w:line="360" w:lineRule="auto"/>
        <w:ind w:firstLine="420" w:firstLineChars="200"/>
        <w:rPr>
          <w:rFonts w:hint="eastAsia" w:hAnsi="宋体"/>
          <w:color w:val="000000"/>
          <w:kern w:val="58"/>
          <w:sz w:val="21"/>
        </w:rPr>
      </w:pPr>
      <w:r>
        <w:rPr>
          <w:rFonts w:hint="eastAsia" w:hAnsi="宋体"/>
          <w:color w:val="000000"/>
          <w:kern w:val="58"/>
          <w:sz w:val="21"/>
          <w:lang w:eastAsia="zh-CN"/>
        </w:rPr>
        <w:t>比选申请人</w:t>
      </w:r>
      <w:r>
        <w:rPr>
          <w:rFonts w:hint="eastAsia" w:hAnsi="宋体"/>
          <w:color w:val="000000"/>
          <w:kern w:val="58"/>
          <w:sz w:val="21"/>
        </w:rPr>
        <w:t>应实行持证上岗，特别是特殊工种，树立“安全第一、预防为主”的思想，做到：“不违章指挥、不违章操作、不伤害自己、不被别人伤害，达到提高职工整体安全防护意识和自我防护能力”。</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所有施工人员和管理人员要熟悉掌握消防设备的性能和使用方法。不得乱动消防器材。遵守劳动纪律，服从安全人员的指挥，严禁在施工场地睡觉、嬉戏。施工现场杜绝火种，严禁烟火（吸烟）。</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工人进入施工现场，必须按要求正确戴好安全帽、扣好工作服；严禁赤脚或穿拖鞋和着穿不整进入施工现场。不听劝告者不得进入施工现场。对于施工材料必须按规定统一放置在指定的位置，统一保管并设置消防器材，并做好防火警示。</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施工人员涉及登高作业时，要有高空作业证。高空作业要有切实可行的安全保证措施。脚手搭设完成后，经安全验收合格后方可使用。使用中定人、定期进行检查维修。高空作业必须系安全带；不得穿硬底或带钉的鞋，不得往下投掷物料。</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合同服务期内，因</w:t>
      </w:r>
      <w:r>
        <w:rPr>
          <w:rFonts w:hint="eastAsia" w:hAnsi="宋体"/>
          <w:color w:val="000000"/>
          <w:kern w:val="58"/>
          <w:sz w:val="21"/>
          <w:lang w:eastAsia="zh-CN"/>
        </w:rPr>
        <w:t>比选申请人</w:t>
      </w:r>
      <w:r>
        <w:rPr>
          <w:rFonts w:hint="eastAsia" w:hAnsi="宋体"/>
          <w:color w:val="000000"/>
          <w:kern w:val="58"/>
          <w:sz w:val="21"/>
        </w:rPr>
        <w:t>管理不善造成人员工伤得，由</w:t>
      </w:r>
      <w:r>
        <w:rPr>
          <w:rFonts w:hint="eastAsia" w:hAnsi="宋体"/>
          <w:color w:val="000000"/>
          <w:kern w:val="58"/>
          <w:sz w:val="21"/>
          <w:lang w:eastAsia="zh-CN"/>
        </w:rPr>
        <w:t>比选申请人</w:t>
      </w:r>
      <w:r>
        <w:rPr>
          <w:rFonts w:hint="eastAsia" w:hAnsi="宋体"/>
          <w:color w:val="000000"/>
          <w:kern w:val="58"/>
          <w:sz w:val="21"/>
        </w:rPr>
        <w:t>负责办理理赔，造成第三方损失的应独立应诉并承担相关费用。</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因</w:t>
      </w:r>
      <w:r>
        <w:rPr>
          <w:rFonts w:hint="eastAsia" w:hAnsi="宋体"/>
          <w:color w:val="000000"/>
          <w:kern w:val="58"/>
          <w:sz w:val="21"/>
          <w:lang w:eastAsia="zh-CN"/>
        </w:rPr>
        <w:t>比选申请人</w:t>
      </w:r>
      <w:r>
        <w:rPr>
          <w:rFonts w:hint="eastAsia" w:hAnsi="宋体"/>
          <w:color w:val="000000"/>
          <w:kern w:val="58"/>
          <w:sz w:val="21"/>
        </w:rPr>
        <w:t>安全管理和技术管理缺陷等原因造运营重大损失的应进行责任赔偿，构成违法犯罪的交公安机关处理。</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3.2、开工准备</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3.2.1、</w:t>
      </w:r>
      <w:r>
        <w:rPr>
          <w:rFonts w:hint="eastAsia" w:hAnsi="宋体"/>
          <w:color w:val="000000"/>
          <w:kern w:val="58"/>
          <w:sz w:val="21"/>
          <w:lang w:eastAsia="zh-CN"/>
        </w:rPr>
        <w:t>比选申请人</w:t>
      </w:r>
      <w:r>
        <w:rPr>
          <w:rFonts w:hint="eastAsia" w:hAnsi="宋体"/>
          <w:color w:val="000000"/>
          <w:kern w:val="58"/>
          <w:sz w:val="21"/>
        </w:rPr>
        <w:t>应及时做好施工技术、施工和现场准备工作。</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3.3.2、施工技术准备应做好下列工作：</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 xml:space="preserve"> （1）编制施工组织方案，并交与业主审核；</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 xml:space="preserve"> （2）做好技术交底和培训。</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3.2.3、开工准备应做好下列工作：</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 xml:space="preserve">  （1）编制施工计划，安排好施工程序，协调好各工序的配合工作；</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 xml:space="preserve">  （2）组建施工管理机构和相应的专业施工队伍，并进行进场前的教育；</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 xml:space="preserve">  （3）编制材料和设备供应计划并做好供应。</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3.2.4、进场准备应做好下列工作：</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 xml:space="preserve">  （1）确定施工范围；</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 xml:space="preserve">  （2）组织施工及工程机械设备和材料进场；</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施工准备工作就序，开工报告批准后方可进行正式施工。</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3.3、工程进度要求及计划管理</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3.3.1、施工组织方案</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施工组织方案是</w:t>
      </w:r>
      <w:r>
        <w:rPr>
          <w:rFonts w:hint="eastAsia" w:hAnsi="宋体"/>
          <w:color w:val="000000"/>
          <w:kern w:val="58"/>
          <w:sz w:val="21"/>
          <w:lang w:eastAsia="zh-CN"/>
        </w:rPr>
        <w:t>比选申请人</w:t>
      </w:r>
      <w:r>
        <w:rPr>
          <w:rFonts w:hint="eastAsia" w:hAnsi="宋体"/>
          <w:color w:val="000000"/>
          <w:kern w:val="58"/>
          <w:sz w:val="21"/>
        </w:rPr>
        <w:t>为指导工程施工而编制的文件，是</w:t>
      </w:r>
      <w:r>
        <w:rPr>
          <w:rFonts w:hint="eastAsia" w:hAnsi="宋体"/>
          <w:color w:val="000000"/>
          <w:kern w:val="58"/>
          <w:sz w:val="21"/>
          <w:lang w:eastAsia="zh-CN"/>
        </w:rPr>
        <w:t>比选申请人</w:t>
      </w:r>
      <w:r>
        <w:rPr>
          <w:rFonts w:hint="eastAsia" w:hAnsi="宋体"/>
          <w:color w:val="000000"/>
          <w:kern w:val="58"/>
          <w:sz w:val="21"/>
        </w:rPr>
        <w:t>管理工作的重要组成部分，是保证按期、优质、经济的完成工程施工的重要措施，是考核施工</w:t>
      </w:r>
      <w:r>
        <w:rPr>
          <w:rFonts w:hint="eastAsia" w:hAnsi="宋体"/>
          <w:color w:val="000000"/>
          <w:kern w:val="58"/>
          <w:sz w:val="21"/>
          <w:lang w:eastAsia="zh-CN"/>
        </w:rPr>
        <w:t>比选申请人</w:t>
      </w:r>
      <w:r>
        <w:rPr>
          <w:rFonts w:hint="eastAsia" w:hAnsi="宋体"/>
          <w:color w:val="000000"/>
          <w:kern w:val="58"/>
          <w:sz w:val="21"/>
        </w:rPr>
        <w:t>管理水平的重要环节。</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施工组织方案是在单位工程开工前对单位工程施工所作的全面安排，是指导单位建设工程施工的技术经济文件，是</w:t>
      </w:r>
      <w:r>
        <w:rPr>
          <w:rFonts w:hint="eastAsia" w:hAnsi="宋体"/>
          <w:color w:val="000000"/>
          <w:kern w:val="58"/>
          <w:sz w:val="21"/>
          <w:lang w:eastAsia="zh-CN"/>
        </w:rPr>
        <w:t>比选申请人</w:t>
      </w:r>
      <w:r>
        <w:rPr>
          <w:rFonts w:hint="eastAsia" w:hAnsi="宋体"/>
          <w:color w:val="000000"/>
          <w:kern w:val="58"/>
          <w:sz w:val="21"/>
        </w:rPr>
        <w:t>编制作业计划和制定及实施工程进度计划的重要依据。</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施工组织设计的主要任务为：</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（1）确定工程开关前必须完成的各项施工准备工作；</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（2）计算工程量，并据以合理布置施工力量，确定人力、机械、材料的需用量和供应方案；</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（3）从施工的全局出发，确定技术上先进、经济上合理的施工方法和技术组织措施；</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（4）选定有效的施工机具和劳动组织；</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（5）合理安排施工程序、施工顺序、施工方案以作为编制及实施工程进度计划的依据；</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3.3.2、施工进度计划</w:t>
      </w:r>
    </w:p>
    <w:p>
      <w:pPr>
        <w:pStyle w:val="5"/>
        <w:spacing w:line="360" w:lineRule="auto"/>
        <w:ind w:firstLine="420" w:firstLineChars="200"/>
        <w:rPr>
          <w:rFonts w:hint="eastAsia" w:hAnsi="宋体"/>
          <w:color w:val="000000"/>
          <w:kern w:val="58"/>
          <w:sz w:val="21"/>
          <w:highlight w:val="none"/>
        </w:rPr>
      </w:pPr>
      <w:r>
        <w:rPr>
          <w:rFonts w:hint="eastAsia" w:hAnsi="宋体"/>
          <w:color w:val="000000"/>
          <w:kern w:val="58"/>
          <w:sz w:val="21"/>
          <w:highlight w:val="none"/>
          <w:lang w:val="en-US" w:eastAsia="zh-CN"/>
        </w:rPr>
        <w:t>预计</w:t>
      </w:r>
      <w:r>
        <w:rPr>
          <w:rFonts w:hint="eastAsia" w:hAnsi="宋体"/>
          <w:color w:val="000000"/>
          <w:kern w:val="58"/>
          <w:sz w:val="21"/>
          <w:highlight w:val="none"/>
        </w:rPr>
        <w:t>202</w:t>
      </w:r>
      <w:r>
        <w:rPr>
          <w:rFonts w:hint="eastAsia" w:hAnsi="宋体"/>
          <w:color w:val="000000"/>
          <w:kern w:val="58"/>
          <w:sz w:val="21"/>
          <w:highlight w:val="none"/>
          <w:lang w:val="en-US" w:eastAsia="zh-CN"/>
        </w:rPr>
        <w:t>1</w:t>
      </w:r>
      <w:r>
        <w:rPr>
          <w:rFonts w:hint="eastAsia" w:hAnsi="宋体"/>
          <w:color w:val="000000"/>
          <w:kern w:val="58"/>
          <w:sz w:val="21"/>
          <w:highlight w:val="none"/>
        </w:rPr>
        <w:t>年</w:t>
      </w:r>
      <w:r>
        <w:rPr>
          <w:rFonts w:hint="eastAsia" w:hAnsi="宋体"/>
          <w:color w:val="000000"/>
          <w:kern w:val="58"/>
          <w:sz w:val="21"/>
          <w:highlight w:val="none"/>
          <w:lang w:val="en-US" w:eastAsia="zh-CN"/>
        </w:rPr>
        <w:t>2</w:t>
      </w:r>
      <w:r>
        <w:rPr>
          <w:rFonts w:hint="eastAsia" w:hAnsi="宋体"/>
          <w:color w:val="000000"/>
          <w:kern w:val="58"/>
          <w:sz w:val="21"/>
          <w:highlight w:val="none"/>
        </w:rPr>
        <w:t>月</w:t>
      </w:r>
      <w:r>
        <w:rPr>
          <w:rFonts w:hint="eastAsia" w:hAnsi="宋体"/>
          <w:color w:val="000000"/>
          <w:kern w:val="58"/>
          <w:sz w:val="21"/>
          <w:highlight w:val="none"/>
          <w:lang w:eastAsia="zh-CN"/>
        </w:rPr>
        <w:t>中下旬</w:t>
      </w:r>
      <w:r>
        <w:rPr>
          <w:rFonts w:hint="eastAsia" w:hAnsi="宋体"/>
          <w:color w:val="000000"/>
          <w:kern w:val="58"/>
          <w:sz w:val="21"/>
          <w:highlight w:val="none"/>
        </w:rPr>
        <w:t>进场施工，202</w:t>
      </w:r>
      <w:r>
        <w:rPr>
          <w:rFonts w:hint="eastAsia" w:hAnsi="宋体"/>
          <w:color w:val="000000"/>
          <w:kern w:val="58"/>
          <w:sz w:val="21"/>
          <w:highlight w:val="none"/>
          <w:lang w:val="en-US" w:eastAsia="zh-CN"/>
        </w:rPr>
        <w:t>1</w:t>
      </w:r>
      <w:r>
        <w:rPr>
          <w:rFonts w:hint="eastAsia" w:hAnsi="宋体"/>
          <w:color w:val="000000"/>
          <w:kern w:val="58"/>
          <w:sz w:val="21"/>
          <w:highlight w:val="none"/>
        </w:rPr>
        <w:t>年</w:t>
      </w:r>
      <w:r>
        <w:rPr>
          <w:rFonts w:hint="eastAsia" w:hAnsi="宋体"/>
          <w:color w:val="000000"/>
          <w:kern w:val="58"/>
          <w:sz w:val="21"/>
          <w:highlight w:val="none"/>
          <w:lang w:val="en-US" w:eastAsia="zh-CN"/>
        </w:rPr>
        <w:t>3</w:t>
      </w:r>
      <w:r>
        <w:rPr>
          <w:rFonts w:hint="eastAsia" w:hAnsi="宋体"/>
          <w:color w:val="000000"/>
          <w:kern w:val="58"/>
          <w:sz w:val="21"/>
          <w:highlight w:val="none"/>
        </w:rPr>
        <w:t>月</w:t>
      </w:r>
      <w:r>
        <w:rPr>
          <w:rFonts w:hint="eastAsia" w:hAnsi="宋体"/>
          <w:color w:val="000000"/>
          <w:kern w:val="58"/>
          <w:sz w:val="21"/>
          <w:highlight w:val="none"/>
          <w:lang w:val="en-US" w:eastAsia="zh-CN"/>
        </w:rPr>
        <w:t>15日前</w:t>
      </w:r>
      <w:r>
        <w:rPr>
          <w:rFonts w:hint="eastAsia" w:hAnsi="宋体"/>
          <w:color w:val="000000"/>
          <w:kern w:val="58"/>
          <w:sz w:val="21"/>
          <w:highlight w:val="none"/>
        </w:rPr>
        <w:t>完成施工</w:t>
      </w:r>
      <w:r>
        <w:rPr>
          <w:rFonts w:hint="eastAsia" w:hAnsi="宋体"/>
          <w:color w:val="000000"/>
          <w:kern w:val="58"/>
          <w:sz w:val="21"/>
          <w:highlight w:val="none"/>
          <w:lang w:eastAsia="zh-CN"/>
        </w:rPr>
        <w:t>，</w:t>
      </w:r>
      <w:r>
        <w:rPr>
          <w:rFonts w:hint="eastAsia" w:hAnsi="宋体"/>
          <w:color w:val="000000"/>
          <w:kern w:val="58"/>
          <w:sz w:val="21"/>
          <w:highlight w:val="none"/>
          <w:lang w:val="en-US" w:eastAsia="zh-CN"/>
        </w:rPr>
        <w:t>2021年3月25日前完成项目综合调试</w:t>
      </w:r>
      <w:r>
        <w:rPr>
          <w:rFonts w:hint="eastAsia" w:hAnsi="宋体"/>
          <w:color w:val="000000"/>
          <w:kern w:val="58"/>
          <w:sz w:val="21"/>
          <w:highlight w:val="none"/>
        </w:rPr>
        <w:t>并具备验收条件。</w:t>
      </w:r>
    </w:p>
    <w:p>
      <w:pPr>
        <w:pStyle w:val="5"/>
        <w:spacing w:line="360" w:lineRule="auto"/>
        <w:ind w:firstLine="420" w:firstLineChars="200"/>
        <w:rPr>
          <w:rFonts w:hint="eastAsia" w:hAnsi="宋体"/>
          <w:color w:val="000000"/>
          <w:kern w:val="58"/>
          <w:sz w:val="21"/>
          <w:highlight w:val="none"/>
        </w:rPr>
      </w:pPr>
      <w:r>
        <w:rPr>
          <w:rFonts w:hint="eastAsia" w:hAnsi="宋体"/>
          <w:color w:val="000000"/>
          <w:kern w:val="58"/>
          <w:sz w:val="21"/>
          <w:highlight w:val="none"/>
        </w:rPr>
        <w:t>3.4施工改造计划安排</w:t>
      </w:r>
    </w:p>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rPr>
        <w:t>本项目改造范围在海晏北路站F、G号</w:t>
      </w:r>
      <w:r>
        <w:rPr>
          <w:rFonts w:hint="eastAsia" w:hAnsi="宋体"/>
          <w:color w:val="000000"/>
          <w:kern w:val="58"/>
          <w:sz w:val="21"/>
          <w:lang w:val="en-US" w:eastAsia="zh-CN"/>
        </w:rPr>
        <w:t>连通口</w:t>
      </w:r>
      <w:r>
        <w:rPr>
          <w:rFonts w:hint="eastAsia" w:hAnsi="宋体"/>
          <w:color w:val="000000"/>
          <w:kern w:val="58"/>
          <w:sz w:val="21"/>
        </w:rPr>
        <w:t>机电安装</w:t>
      </w:r>
      <w:r>
        <w:rPr>
          <w:rFonts w:hint="eastAsia" w:hAnsi="宋体"/>
          <w:color w:val="000000"/>
          <w:kern w:val="58"/>
          <w:sz w:val="21"/>
          <w:lang w:val="en-US" w:eastAsia="zh-CN"/>
        </w:rPr>
        <w:t>及公共区导向、疏散指示、盲道、卫生间隔断改造。</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 xml:space="preserve">（1）站内防盗卷帘与临时封堵之间区域的机电设备系统全专业设计及站内的防盗卷帘配电。设备系统均接入地铁原有系统， </w:t>
      </w:r>
    </w:p>
    <w:p>
      <w:pPr>
        <w:ind w:firstLine="420" w:firstLineChars="200"/>
        <w:rPr>
          <w:rFonts w:hint="eastAsia" w:hAnsi="宋体"/>
          <w:color w:val="000000"/>
          <w:kern w:val="58"/>
          <w:sz w:val="21"/>
          <w:highlight w:val="none"/>
        </w:rPr>
      </w:pPr>
      <w:r>
        <w:rPr>
          <w:rFonts w:hint="eastAsia" w:hAnsi="宋体"/>
          <w:color w:val="000000"/>
          <w:kern w:val="58"/>
          <w:sz w:val="21"/>
        </w:rPr>
        <w:t>（2）防盗卷帘与地面处防盗卷帘之间的区域，设计范围仅包含与消防有关的系统</w:t>
      </w:r>
      <w:r>
        <w:rPr>
          <w:rFonts w:hint="eastAsia" w:ascii="宋体" w:hAnsi="宋体"/>
          <w:color w:val="000000"/>
          <w:kern w:val="58"/>
          <w:sz w:val="21"/>
          <w:szCs w:val="20"/>
          <w:highlight w:val="none"/>
          <w:lang w:val="en-US" w:eastAsia="zh-CN"/>
        </w:rPr>
        <w:t>和公安视频监控及无线天线系统。</w:t>
      </w:r>
      <w:r>
        <w:rPr>
          <w:rFonts w:hint="eastAsia" w:hAnsi="宋体"/>
          <w:color w:val="000000"/>
          <w:kern w:val="58"/>
          <w:sz w:val="21"/>
          <w:highlight w:val="none"/>
          <w:lang w:val="en-US" w:eastAsia="zh-CN"/>
        </w:rPr>
        <w:t>地铁方</w:t>
      </w:r>
      <w:r>
        <w:rPr>
          <w:rFonts w:hint="eastAsia" w:hAnsi="宋体"/>
          <w:color w:val="000000"/>
          <w:kern w:val="58"/>
          <w:sz w:val="21"/>
          <w:highlight w:val="none"/>
        </w:rPr>
        <w:t>防火卷帘由地铁方控制。</w:t>
      </w:r>
    </w:p>
    <w:p>
      <w:pPr>
        <w:pStyle w:val="5"/>
        <w:spacing w:line="360" w:lineRule="auto"/>
        <w:ind w:firstLine="420" w:firstLineChars="200"/>
        <w:rPr>
          <w:rFonts w:hint="eastAsia" w:hAnsi="宋体"/>
          <w:color w:val="000000"/>
          <w:kern w:val="58"/>
          <w:sz w:val="21"/>
          <w:highlight w:val="none"/>
        </w:rPr>
      </w:pPr>
      <w:r>
        <w:rPr>
          <w:rFonts w:hint="eastAsia" w:hAnsi="宋体"/>
          <w:color w:val="000000"/>
          <w:kern w:val="58"/>
          <w:sz w:val="21"/>
          <w:highlight w:val="none"/>
        </w:rPr>
        <w:t>3.5施工工序及要求</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3.5.1施工前相关资料准备完成，</w:t>
      </w:r>
      <w:r>
        <w:rPr>
          <w:rFonts w:hint="eastAsia" w:hAnsi="宋体"/>
          <w:color w:val="000000"/>
          <w:kern w:val="58"/>
          <w:sz w:val="21"/>
          <w:lang w:eastAsia="zh-CN"/>
        </w:rPr>
        <w:t>比选发起人</w:t>
      </w:r>
      <w:r>
        <w:rPr>
          <w:rFonts w:hint="eastAsia" w:hAnsi="宋体"/>
          <w:color w:val="000000"/>
          <w:kern w:val="58"/>
          <w:sz w:val="21"/>
        </w:rPr>
        <w:t>下达开工报告后，</w:t>
      </w:r>
      <w:r>
        <w:rPr>
          <w:rFonts w:hint="eastAsia" w:hAnsi="宋体"/>
          <w:color w:val="000000"/>
          <w:kern w:val="58"/>
          <w:sz w:val="21"/>
          <w:lang w:eastAsia="zh-CN"/>
        </w:rPr>
        <w:t>比选申请人</w:t>
      </w:r>
      <w:r>
        <w:rPr>
          <w:rFonts w:hint="eastAsia" w:hAnsi="宋体"/>
          <w:color w:val="000000"/>
          <w:kern w:val="58"/>
          <w:sz w:val="21"/>
        </w:rPr>
        <w:t>根据已批准的施工组织设计或施工方案及时组织相关作业人员进场。</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3.5.2拆除相关设施</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现有设施拆除，拆除前先通知</w:t>
      </w:r>
      <w:r>
        <w:rPr>
          <w:rFonts w:hint="eastAsia" w:hAnsi="宋体"/>
          <w:color w:val="000000"/>
          <w:kern w:val="58"/>
          <w:sz w:val="21"/>
          <w:lang w:eastAsia="zh-CN"/>
        </w:rPr>
        <w:t>比选发起人</w:t>
      </w:r>
      <w:r>
        <w:rPr>
          <w:rFonts w:hint="eastAsia" w:hAnsi="宋体"/>
          <w:color w:val="000000"/>
          <w:kern w:val="58"/>
          <w:sz w:val="21"/>
        </w:rPr>
        <w:t>相关管理部门及中心，对需要隔离、断电设施停电、屏蔽相关防火分区的消防联动信号及报警信号、相关供水管理关阀断水。</w:t>
      </w:r>
    </w:p>
    <w:p>
      <w:pPr>
        <w:pStyle w:val="5"/>
        <w:spacing w:line="360" w:lineRule="auto"/>
        <w:ind w:firstLine="420" w:firstLineChars="200"/>
        <w:rPr>
          <w:rFonts w:hint="default" w:hAnsi="宋体"/>
          <w:color w:val="000000"/>
          <w:kern w:val="58"/>
          <w:sz w:val="21"/>
          <w:lang w:val="en-US" w:eastAsia="zh-CN"/>
        </w:rPr>
      </w:pPr>
      <w:r>
        <w:rPr>
          <w:rFonts w:hint="eastAsia" w:hAnsi="宋体"/>
          <w:color w:val="000000"/>
          <w:kern w:val="58"/>
          <w:sz w:val="21"/>
          <w:lang w:val="en-US" w:eastAsia="zh-CN"/>
        </w:rPr>
        <w:t>对既有公共区吊顶材料拆除及恢复：施工单位在机电设备安装过程中，需要对车站既有公共区吊顶格栅等材料进行部分拆除前，需要通知比选发起人相关管理部门及中心现场先进行确认可行后，并按施规要求进行拆除，并对拆除设施进行保护，施工完毕后，及时对拆除吊顶材料进行恢复，并经维保中心现场进行确认。</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施工过程中有防尘、防水有要求的消防感烟、感温传感器进行包裹保护，消防喷头拆除后统一放置安全区域，防止损坏。</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3.5.3 施工材料及进出场</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为保证</w:t>
      </w:r>
      <w:r>
        <w:rPr>
          <w:rFonts w:hint="eastAsia" w:hAnsi="宋体"/>
          <w:color w:val="000000"/>
          <w:kern w:val="58"/>
          <w:sz w:val="21"/>
          <w:lang w:val="en-US" w:eastAsia="zh-CN"/>
        </w:rPr>
        <w:t>轨道交通既有1号线海晏北路站站内有序运营，施工材料大型机具不得从既有A\C\B出入口进入施工现场</w:t>
      </w:r>
    </w:p>
    <w:p>
      <w:pPr>
        <w:pStyle w:val="5"/>
        <w:spacing w:line="360" w:lineRule="auto"/>
        <w:ind w:firstLine="420" w:firstLineChars="200"/>
        <w:rPr>
          <w:rFonts w:hint="eastAsia" w:hAnsi="宋体"/>
          <w:color w:val="000000"/>
          <w:kern w:val="58"/>
          <w:sz w:val="21"/>
        </w:rPr>
      </w:pPr>
      <w:r>
        <w:rPr>
          <w:rFonts w:hint="eastAsia" w:hAnsi="宋体"/>
          <w:color w:val="000000"/>
          <w:kern w:val="58"/>
          <w:sz w:val="21"/>
          <w:lang w:val="en-US" w:eastAsia="zh-CN"/>
        </w:rPr>
        <w:t>施工材料从新开通F</w:t>
      </w:r>
      <w:r>
        <w:rPr>
          <w:rFonts w:hint="default" w:hAnsi="宋体"/>
          <w:color w:val="000000"/>
          <w:kern w:val="58"/>
          <w:sz w:val="21"/>
          <w:lang w:val="en-US" w:eastAsia="zh-CN"/>
        </w:rPr>
        <w:t>(2#)</w:t>
      </w:r>
      <w:r>
        <w:rPr>
          <w:rFonts w:hint="eastAsia" w:hAnsi="宋体"/>
          <w:color w:val="000000"/>
          <w:kern w:val="58"/>
          <w:sz w:val="21"/>
          <w:lang w:val="en-US" w:eastAsia="zh-CN"/>
        </w:rPr>
        <w:t>\G</w:t>
      </w:r>
      <w:r>
        <w:rPr>
          <w:rFonts w:hint="default" w:hAnsi="宋体"/>
          <w:color w:val="000000"/>
          <w:kern w:val="58"/>
          <w:sz w:val="21"/>
          <w:lang w:val="en-US" w:eastAsia="zh-CN"/>
        </w:rPr>
        <w:t>(3#)</w:t>
      </w:r>
      <w:r>
        <w:rPr>
          <w:rFonts w:hint="eastAsia" w:hAnsi="宋体"/>
          <w:color w:val="000000"/>
          <w:kern w:val="58"/>
          <w:sz w:val="21"/>
          <w:lang w:val="en-US" w:eastAsia="zh-CN"/>
        </w:rPr>
        <w:t>出入口进行施工区域，并做好搬运过程中轨道既有设施设备的保护工作。发生因材料运输、堆放、施工等原因对既有地面、墙面、顶棚内外设施设备造成损坏，由施工单位负责维修更换，或做相关赔偿。</w:t>
      </w:r>
    </w:p>
    <w:p>
      <w:pPr>
        <w:rPr>
          <w:rFonts w:hint="eastAsia"/>
          <w:b/>
        </w:rPr>
      </w:pPr>
      <w:r>
        <w:rPr>
          <w:rFonts w:hint="eastAsia"/>
          <w:b/>
          <w:lang w:val="en-US" w:eastAsia="zh-CN"/>
        </w:rPr>
        <w:t>4.</w:t>
      </w:r>
      <w:r>
        <w:rPr>
          <w:rFonts w:hint="eastAsia"/>
          <w:b/>
        </w:rPr>
        <w:t>质量保证</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根据施工设计图、《建设工程质量管理条例》、</w:t>
      </w:r>
      <w:r>
        <w:rPr>
          <w:rFonts w:hint="eastAsia" w:hAnsi="宋体"/>
          <w:color w:val="000000"/>
          <w:kern w:val="58"/>
          <w:sz w:val="21"/>
          <w:lang w:eastAsia="zh-CN"/>
        </w:rPr>
        <w:t>《</w:t>
      </w:r>
      <w:r>
        <w:rPr>
          <w:rFonts w:hint="eastAsia" w:hAnsi="宋体"/>
          <w:color w:val="000000"/>
          <w:kern w:val="58"/>
          <w:sz w:val="21"/>
          <w:lang w:val="en-US" w:eastAsia="zh-CN"/>
        </w:rPr>
        <w:t>建筑电气工程施工质量验收规范》GB50300-2013、《火灾自动报警系统施工及验收规范》GB 50166-2019、《城市轨道交通通信工程质量验收规范》GB50382-2016、《建筑给水排水及采暖工程施工质量验收规范》GB50242、</w:t>
      </w:r>
      <w:r>
        <w:rPr>
          <w:rFonts w:hint="eastAsia" w:hAnsi="宋体"/>
          <w:color w:val="000000"/>
          <w:kern w:val="58"/>
          <w:sz w:val="21"/>
        </w:rPr>
        <w:t>《建筑装饰</w:t>
      </w:r>
      <w:r>
        <w:rPr>
          <w:rFonts w:hint="eastAsia" w:hAnsi="宋体"/>
          <w:color w:val="000000"/>
          <w:kern w:val="58"/>
          <w:sz w:val="21"/>
          <w:lang w:val="en-US" w:eastAsia="zh-CN"/>
        </w:rPr>
        <w:t>装修</w:t>
      </w:r>
      <w:r>
        <w:rPr>
          <w:rFonts w:hint="eastAsia" w:hAnsi="宋体"/>
          <w:color w:val="000000"/>
          <w:kern w:val="58"/>
          <w:sz w:val="21"/>
        </w:rPr>
        <w:t>工程质量验收</w:t>
      </w:r>
      <w:r>
        <w:rPr>
          <w:rFonts w:hint="eastAsia" w:hAnsi="宋体"/>
          <w:color w:val="000000"/>
          <w:kern w:val="58"/>
          <w:sz w:val="21"/>
          <w:lang w:val="en-US" w:eastAsia="zh-CN"/>
        </w:rPr>
        <w:t>标准</w:t>
      </w:r>
      <w:r>
        <w:rPr>
          <w:rFonts w:hint="eastAsia" w:hAnsi="宋体"/>
          <w:color w:val="000000"/>
          <w:kern w:val="58"/>
          <w:sz w:val="21"/>
        </w:rPr>
        <w:t>》</w:t>
      </w:r>
      <w:r>
        <w:rPr>
          <w:rFonts w:hint="eastAsia" w:hAnsi="宋体"/>
          <w:color w:val="000000"/>
          <w:kern w:val="58"/>
          <w:sz w:val="21"/>
          <w:lang w:val="en-US" w:eastAsia="zh-CN"/>
        </w:rPr>
        <w:t>GB 50210-2018</w:t>
      </w:r>
      <w:r>
        <w:rPr>
          <w:rFonts w:hint="eastAsia" w:hAnsi="宋体"/>
          <w:color w:val="000000"/>
          <w:kern w:val="58"/>
          <w:sz w:val="21"/>
        </w:rPr>
        <w:t>等相关国家标准进行验收。</w:t>
      </w:r>
    </w:p>
    <w:p>
      <w:pPr>
        <w:rPr>
          <w:rFonts w:hint="eastAsia"/>
          <w:b/>
        </w:rPr>
      </w:pPr>
      <w:r>
        <w:rPr>
          <w:rFonts w:hint="eastAsia"/>
          <w:b/>
          <w:lang w:val="en-US" w:eastAsia="zh-CN"/>
        </w:rPr>
        <w:t>5.</w:t>
      </w:r>
      <w:r>
        <w:rPr>
          <w:rFonts w:hint="eastAsia"/>
          <w:b/>
        </w:rPr>
        <w:t>培训及售后承诺</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施工完成后，施工方提交相关资料，如竣工图、施工过程中管线更改位置等相关说明，并向运营分公司说明相关管线走向及用途，以方便运营分公司后续维护维修需要。质保期内运营分公司的故障报修后，磋商申请需要2小时电话响应，24小时内到达现场查找故障原因或现场觖决相关问题，不能及时维修的需现场制定初步维修方案，并制定相应维修计划，维修计划需与运营分公司协商制定，以达到故障影响时间最小。</w:t>
      </w:r>
    </w:p>
    <w:p>
      <w:pPr>
        <w:rPr>
          <w:rFonts w:hint="eastAsia"/>
          <w:b/>
        </w:rPr>
      </w:pPr>
      <w:r>
        <w:rPr>
          <w:rFonts w:hint="eastAsia"/>
          <w:b/>
          <w:lang w:val="en-US" w:eastAsia="zh-CN"/>
        </w:rPr>
        <w:t>6.</w:t>
      </w:r>
      <w:r>
        <w:rPr>
          <w:rFonts w:hint="eastAsia"/>
          <w:b/>
        </w:rPr>
        <w:t>其他</w:t>
      </w:r>
    </w:p>
    <w:p>
      <w:pPr>
        <w:pStyle w:val="5"/>
        <w:spacing w:line="360" w:lineRule="auto"/>
        <w:ind w:firstLine="420" w:firstLineChars="200"/>
        <w:rPr>
          <w:rFonts w:hint="eastAsia" w:hAnsi="宋体"/>
          <w:color w:val="000000"/>
          <w:kern w:val="58"/>
          <w:sz w:val="21"/>
        </w:rPr>
      </w:pPr>
      <w:r>
        <w:rPr>
          <w:rFonts w:hint="eastAsia" w:hAnsi="宋体"/>
          <w:color w:val="000000"/>
          <w:kern w:val="58"/>
          <w:sz w:val="21"/>
        </w:rPr>
        <w:t>本项目施工区域</w:t>
      </w:r>
      <w:r>
        <w:rPr>
          <w:rFonts w:hint="eastAsia" w:hAnsi="宋体"/>
          <w:color w:val="000000"/>
          <w:kern w:val="58"/>
          <w:sz w:val="21"/>
          <w:lang w:val="en-US" w:eastAsia="zh-CN"/>
        </w:rPr>
        <w:t>应与轨道车站公共区域隔离开</w:t>
      </w:r>
      <w:r>
        <w:rPr>
          <w:rFonts w:hint="eastAsia" w:hAnsi="宋体"/>
          <w:color w:val="000000"/>
          <w:kern w:val="58"/>
          <w:sz w:val="21"/>
        </w:rPr>
        <w:t>，</w:t>
      </w:r>
      <w:r>
        <w:rPr>
          <w:rFonts w:hint="eastAsia" w:hAnsi="宋体"/>
          <w:color w:val="000000"/>
          <w:kern w:val="58"/>
          <w:sz w:val="21"/>
          <w:lang w:val="en-US" w:eastAsia="zh-CN"/>
        </w:rPr>
        <w:t>按照文明施工要求做好施工围挡，</w:t>
      </w:r>
      <w:r>
        <w:rPr>
          <w:rFonts w:hint="eastAsia" w:hAnsi="宋体"/>
          <w:color w:val="000000"/>
          <w:kern w:val="58"/>
          <w:sz w:val="21"/>
        </w:rPr>
        <w:t>施工应尽量保障现有环境，施工材料运输、二次搬运过程中，注意施工安全，主要材料堆放区域尽量选择在</w:t>
      </w:r>
      <w:r>
        <w:rPr>
          <w:rFonts w:hint="eastAsia" w:hAnsi="宋体"/>
          <w:color w:val="000000"/>
          <w:kern w:val="58"/>
          <w:sz w:val="21"/>
          <w:lang w:val="en-US" w:eastAsia="zh-CN"/>
        </w:rPr>
        <w:t>施工区域内的临时材料堆放点</w:t>
      </w:r>
      <w:r>
        <w:rPr>
          <w:rFonts w:hint="eastAsia" w:hAnsi="宋体"/>
          <w:color w:val="000000"/>
          <w:kern w:val="58"/>
          <w:sz w:val="21"/>
        </w:rPr>
        <w:t>，施工过程如现在有余留材料及时清理，做到工完料清，文明施工。</w:t>
      </w:r>
    </w:p>
    <w:p>
      <w:pPr>
        <w:numPr>
          <w:ilvl w:val="0"/>
          <w:numId w:val="1"/>
        </w:numPr>
        <w:rPr>
          <w:rFonts w:hint="eastAsia"/>
          <w:b/>
          <w:lang w:val="en-US" w:eastAsia="zh-CN"/>
        </w:rPr>
      </w:pPr>
      <w:r>
        <w:rPr>
          <w:rFonts w:hint="eastAsia"/>
          <w:b/>
          <w:lang w:val="en-US" w:eastAsia="zh-CN"/>
        </w:rPr>
        <w:t>工程量清单</w:t>
      </w:r>
    </w:p>
    <w:p>
      <w:pPr>
        <w:pStyle w:val="5"/>
        <w:spacing w:line="360" w:lineRule="auto"/>
        <w:ind w:firstLine="420" w:firstLineChars="200"/>
        <w:jc w:val="center"/>
        <w:rPr>
          <w:rFonts w:hint="eastAsia" w:hAnsi="宋体"/>
          <w:color w:val="000000"/>
          <w:kern w:val="58"/>
          <w:sz w:val="21"/>
          <w:lang w:val="en-US" w:eastAsia="zh-CN"/>
        </w:rPr>
      </w:pPr>
      <w:r>
        <w:rPr>
          <w:rFonts w:hint="eastAsia" w:hAnsi="宋体"/>
          <w:color w:val="000000"/>
          <w:kern w:val="58"/>
          <w:sz w:val="21"/>
          <w:lang w:val="en-US" w:eastAsia="zh-CN"/>
        </w:rPr>
        <w:t>工程量清单</w:t>
      </w:r>
    </w:p>
    <w:tbl>
      <w:tblPr>
        <w:tblStyle w:val="7"/>
        <w:tblW w:w="1045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079"/>
        <w:gridCol w:w="1320"/>
        <w:gridCol w:w="3539"/>
        <w:gridCol w:w="1650"/>
        <w:gridCol w:w="1785"/>
        <w:gridCol w:w="10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序号</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项目名称</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项目特征</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计量</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单位</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工程量</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装饰工程</w:t>
            </w:r>
          </w:p>
        </w:tc>
        <w:tc>
          <w:tcPr>
            <w:tcW w:w="805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576"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盲道（条形）</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1、名称：盲道（条形）300*300mm</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2、结构板面除灰后素水泥浆一道</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3、C20混泥土垫层</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4、刷素水泥浆一道</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5、1:3干硬性水泥砂浆找平层</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6、1:2.5水泥砂浆铺贴盲道</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32.94</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576"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盲道（圆形）</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1、名称：盲道（圆形）300*300mm</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2、结构板面除灰后素水泥浆一道</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3、C20混泥土垫层</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4、刷素水泥浆一道</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5、1:3干硬性水泥砂浆找平层</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6、1:2.5水泥砂浆铺贴盲道</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0.36</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2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铝合金防淹板</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1、名称：铝合金防淹板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2、型号、规格：详见设计图纸及用户需求书</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3、含安装附件等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14.18</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2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成品隔断</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1、名称：塑料贴面胶合板隔断</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2、型号、规格：详见设计图纸及用户需求书</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3、含安装附件等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7.77</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2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临时隔墙拆除</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1、名称：临时隔墙拆除</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2、型号、规格：详见设计图纸及用户需求书</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3、含隔墙附属门等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m2</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23.50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51"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导向标识</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1、名称：导向标识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2、型号、规格：3000mm*330mm</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3、新增双面有源导向牌（悬挂式导向），内置LED光源、吊杆等配套材料（低压专业需要考虑电源配线）等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51"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导向标识</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1、名称：导向标识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2、型号、规格：1500mm*330mm</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3、新增双面有源导向牌（悬挂式导向），内置LED光源、吊杆等配套材料（低压专业需要考虑电源配线）等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导向标识更换</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1、名称：导向标识单面面板更换</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2、型号、规格：3000mm*330mm</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块</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导向标识更换</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1、名称：导向标识单面面板更换</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2、型号、规格：1500mm*330mm</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块</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51"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资讯图</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1、名称：出入口资讯图</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2、型号、规格：930*1530mm</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3、新增灯片、铝合金外框、外框玻璃、光源等全套材料。（低压专业需要考虑电源配线）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资讯图更换</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1、名称：综合资讯图更换</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2、型号、规格：2920*1480mm</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3、更换版面（灯片）</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资讯图更换</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1、名称：出入口资讯图更换</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2、型号、规格：930*1530mm</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3、更换版面（灯片）</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电气</w:t>
            </w:r>
          </w:p>
        </w:tc>
        <w:tc>
          <w:tcPr>
            <w:tcW w:w="805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低压熔断器</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1、名称：熔断器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2、型号、规格：RC1A-10/4A</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低压熔断器</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1、名称：熔断器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2、型号、规格：RC1A-15/10A</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2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低烟无卤阻热型电力电缆</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1、名称：低烟无卤阻热型电力电缆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2、型号：WDZB-YJY-0.6/1 3x4</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3、安装方式：综合考虑</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4、含电缆头制作安装</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88.41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2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低烟无卤耐火型电力电缆</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1、名称：低烟无卤耐火型电力电缆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2、型号：WDZBN-YJY-0.6/1 5x4</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3、安装方式：综合考虑</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4、含电缆头制作安装</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72.20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镀锌钢管</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1、名称：镀锌钢管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2、型号、规格：SC20</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1066.73</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镀锌钢管</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1、名称：镀锌钢管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2、型号、规格：SC25</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459.32</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2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密闭处理</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1、名称：密闭处理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2、型号、规格：详见设计图纸及用户需求书</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低烟无卤阻燃铜芯导线</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1、名称：低烟无卤阻燃铜芯导线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2、型号、规格：WDZB-BYJ-450/750 2.5</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1887.57</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低烟无卤阻燃铜芯导线</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1、名称：低烟无卤耐火铜芯导线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2、型号、规格：WDZB-BYJ-450/750 4</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360.00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低烟无卤耐火铜芯导线</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1、名称：低烟无卤耐火铜芯导线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2、型号、规格：WDZBN-BYJ-450/750 2.5</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1312.62</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低烟无卤耐火铜芯导线</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1、名称：低烟无卤耐火铜芯导线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2、型号、规格：WDZBN-BYJ-450/750 4</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547.89</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LED面框灯</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1、名称：LED面框灯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2、型号、规格：220V,30W</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27</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应急LED面框灯</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1、名称：应急LED面框灯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2、型号、规格：220V,30W</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应急LED筒灯</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1、名称：应急LED筒灯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2、型号、规格：220V,20W</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单向疏散指示灯</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1、名称：单向疏散指示灯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2、型号、规格：220V,5W</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29</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安全出口指示灯</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1、名称：安全出口指示灯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2、型号、规格：220V,5W</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17</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地面疏散指示灯</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1、名称：地面疏散指示灯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2、型号、规格：直径200mm</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18</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地面疏散指示灯</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1、名称：地面疏散指示灯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2、型号、规格：直径200mm</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3、敷设方式：拆装</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19</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圆形红色不干胶贴纸</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1、名称：圆形红色不干胶贴纸</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2、型号、规格：Φ50</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给排水（消防水）</w:t>
            </w:r>
          </w:p>
        </w:tc>
        <w:tc>
          <w:tcPr>
            <w:tcW w:w="805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51"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热浸镀锌钢管</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1、安装部位(室内、外)：室内</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2、名称：热浸镀锌钢管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3、型号、规格：DN65</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4、连接方式：螺纹连接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5、含管件等管道安装需要的所有配件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35.78</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51"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热浸镀锌钢管</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1、安装部位(室内、外)：室内</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2、名称：热浸镀锌钢管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3、型号、规格：DN100</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4、连接方式：沟槽连接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5、含管件等管道安装需要的所有配件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52.77</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026"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薄型单栓带灭火器箱组合式消防柜</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1、名称：薄型单栓带灭火器箱组合式消防柜(不锈钢1800x700x180)</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2、型号、规格：内配DN65消火栓1个,DN65,25m长衬胶水带一条,DN19mm水枪一支,25m长消防卷盘一套,消防按钮一个，箱内自带4具5Kg装磷酸铵盐灭火器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4、含设备安装需要的所有配件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026"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薄型双栓带灭火器箱组合式消防柜</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1、名称：薄型双栓带灭火器箱组合式消防柜(不锈钢2000x750x180)</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2、型号、规格：内配DN65消火栓2个,DN65,25m长衬胶水带一条,DN19mm水枪一支,25m长消防卷盘一套,消防按钮一个，箱内自带4具5Kg装磷酸铵盐灭火器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4、含设备安装需要的所有配件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51"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自动排气阀（含截止阀)</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1、名称：自动排气阀（含截止阀)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2、规格：DN25</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3、连接方式：螺纹连接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4、其他：含所有安装配件如沟槽夹箍、法兰（如需）等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51"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蝶阀</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1、名称：蝶阀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2、规格：DN100</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3、连接方式：沟槽连接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4、其他：含所有安装配件如沟槽夹箍、法兰（如需）等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2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管道支架</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1、名称：支架及抗震支架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2、型号、规格：详见设计图纸及用户需求书</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3、含安装附件等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四</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智能化</w:t>
            </w:r>
          </w:p>
        </w:tc>
        <w:tc>
          <w:tcPr>
            <w:tcW w:w="805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广播系统</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2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扬声器</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1、名称：扬声器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2、型号、规格：详见设计图纸及用户需求书</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3、含安装附件等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接线盒</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1、名称：接线盒</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2、型号、规格：详见设计图纸及用户需求书</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穿放线缆</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1、名称：穿放线缆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2、型号、规格：WDZ-RYY 2x1.0</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3、敷设方式：综合考虑，含成端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245.00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智能化公安视频监视系统</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2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固定式高清数字摄像机（枪机）</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1、名称：固定式高清数字摄像机（枪机）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2、型号、规格：光口</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3、含32G SD卡、镜头、防护罩、吊杆和设备箱等全套附件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51"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摄像机前端箱</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1、名称：摄像机前端箱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2、型号、规格：详见设计图纸及用户需求书</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3、含熔接盒、空开、光电转换器安装附件等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19</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高清半球摄像机</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1、名称：高清半球摄像机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2、型号、规格：光口</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3、含32G SD卡、吊杆和设备箱等全套附件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室外高清网络球机</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1、名称：室外高清网络球机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2、型号、规格：光口</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3、含32G SD卡、吊杆、设备箱等全套附件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2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摄像机立杆及基础</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1、名称：摄像机立杆及基础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2、型号、规格：详见设计图纸及用户需求书</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3、含安装附件等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扩容存储设备(增加硬盘)</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1、名称：扩容存储设备(增加硬盘)</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2、型号、规格：4T/块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块</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2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扩容交换机板卡</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1、名称：扩容交换机板卡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2、型号、规格：详见设计图纸及用户需求书</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3、含安装附件等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块</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2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视频监视终端</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1、名称：视频监视终端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2、型号、规格：详见设计图纸及用户需求书</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3、含安装附件等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2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防火墙</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1、名称：防火墙</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2、型号、规格：详见设计图纸及用户需求书</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3、含安装附件等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穿放线缆</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1、名称：穿放线缆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2、型号、规格：4芯单模光纤</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3、敷设方式：综合考虑，含成端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2965.00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光纤跳线</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1、名称：光纤跳线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2、型号、规格：15米成品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3、含成端等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条</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38</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穿放线缆</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1、名称：穿放线缆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2、型号、规格：DWZR-RYYP 3x1.5</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3、敷设方式：综合考虑，含成端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3040.00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穿放线缆</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1、名称：穿放线缆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2、型号、规格：UTP-CAT6</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3、敷设方式：综合考虑，含成端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75.00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FAS系统</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17</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消火栓按钮</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1、名称：消火栓按钮</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2、含安装、接线、调试等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18</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手动报警按钮</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1、名称：手动报警按钮</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2、含安装、接线、调试等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19</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带地址电话插孔</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1、名称：带地址电话插孔</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2、含安装、接线、调试等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感烟探测器</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1、名称：感烟探测器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2、含安装、接线、调试等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12位模块箱</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1、名称：12位模块箱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2、含安装、接线、调试等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穿放线缆</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1、名称：穿放线缆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2、型号、规格：WDZBN-BYJYS 2x1.5</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3、敷设方式：综合考虑，含成端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1045.00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穿放线缆</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1、名称：穿放线缆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2、型号、规格：WDZBN-RYJYSP 2x1.5</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3、敷设方式：综合考虑，含成端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300.00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穿放线缆</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1、名称：穿放线缆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2、型号、规格：WDZBN-BYJYS 5x1.5</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3、敷设方式：综合考虑，含成端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190.00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576"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软件升级制作及系统接口</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1、名称：软件升级制作及系统接口</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2、含综合监控系统软件升级,需满足FAS、通信系统新增点位图元显示等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3、既有工程已建立通信、FAS、综合监控等系统接口，若既有接口不满足本工程新增点位需求，需由承包商进行接口扩容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（四）</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公安无线系统</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26</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吸顶天线</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1、名称：吸顶天线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2、含安装、接线、调试等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27</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耦合器</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1、名称：耦合器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2、含安装、6dB耦合器、桥架外固定、调试等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端口</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28</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功分器</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1、名称：功分器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2、含安装、二功分器、桥架外固定、调试等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端口</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29</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功分器</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1、名称：功分器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2、含安装、四功分器、桥架外固定、调试等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端口</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穿放线缆</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1、名称：穿放线缆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2、型号、规格：射频同轴电缆 (1/2")</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3、敷设方式：综合考虑，含跳线及接头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80.00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31</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穿放线缆</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1、名称：穿放线缆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2、型号、规格：射频同轴电缆 (7/8")</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3、敷设方式：综合考虑，含跳线及接头</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220.00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32</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光纤跳线</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1、名称：光纤跳线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2、型号、规格：1/2超柔射频软跳线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3、含成端等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条</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（五）</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综合管线</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18"/>
                <w:szCs w:val="18"/>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槽式热镀锌电缆桥架</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1、名称：槽式热镀锌电缆桥架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2、型号、规格：300*100</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3、含安装附件等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251.94</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34</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镀锌钢管</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1、名称：镀锌钢管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2、型号、规格：DN20</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3、含安装附件等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170.00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35</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镀锌钢管</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1、名称：镀锌钢管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2、型号、规格：DN25</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3、含安装附件等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570.00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36</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镀锌钢管</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1、名称：镀锌钢管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2、型号、规格：DN32</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3、含安装附件等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60.00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37</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镀锌钢管</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1、名称：镀锌钢管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2、型号、规格：DN50</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3、含安装附件等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80.00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2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38</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可挠性金属套管</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1、名称：可挠性金属套管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2、型号、规格：详见设计图纸及用户需求书</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3、含安装附件等</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m</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460.00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39</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拆除及恢复吊顶</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1、名称：本工程拆除及恢复吊顶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开墙洞、孔洞、剔槽及恢复</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1、名称：本工程开墙洞、孔洞、剔槽及恢复</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25"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41</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系统调试</w:t>
            </w:r>
          </w:p>
        </w:tc>
        <w:tc>
          <w:tcPr>
            <w:tcW w:w="35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1、名称：系统调试</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2、包含本工程所有专业的系统调戏、联合调试、试运行等保障本项目正常运行所需进行的所有调试内容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3、其他详见设计图纸及用户需求书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w:t>
            </w:r>
          </w:p>
        </w:tc>
        <w:tc>
          <w:tcPr>
            <w:tcW w:w="1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18"/>
                <w:szCs w:val="18"/>
                <w:u w:val="none"/>
              </w:rPr>
            </w:pPr>
          </w:p>
        </w:tc>
      </w:tr>
    </w:tbl>
    <w:p>
      <w:pPr>
        <w:pStyle w:val="5"/>
        <w:spacing w:line="360" w:lineRule="auto"/>
        <w:rPr>
          <w:rFonts w:hint="eastAsia" w:hAnsi="宋体"/>
          <w:color w:val="000000"/>
          <w:kern w:val="58"/>
          <w:sz w:val="21"/>
        </w:rPr>
      </w:pPr>
      <w:r>
        <w:rPr>
          <w:rFonts w:hint="eastAsia" w:hAnsi="宋体"/>
          <w:color w:val="000000"/>
          <w:kern w:val="58"/>
          <w:sz w:val="21"/>
        </w:rPr>
        <w:t>说明：1．比选申请人在报价时将比选申请人须知、用户需求书、合同条件及施工图纸等文件结合起来理解或解释。在填写工程量清单的每一项的单价和合价时认真阅读理解本工程比选文件的有关章节规定。项目特征及工作内容应以清单开项为准，结合图纸及用户需求书进行报价，如项目特征未详细描述但图纸及用户需求书中已有描述，除非出现施工图纸变更或业主原因造成相应工作的技术要求变化，否则视为相应报价单价已作综合考虑。</w:t>
      </w:r>
    </w:p>
    <w:p>
      <w:pPr>
        <w:pStyle w:val="5"/>
        <w:numPr>
          <w:ilvl w:val="0"/>
          <w:numId w:val="2"/>
        </w:numPr>
        <w:spacing w:line="360" w:lineRule="auto"/>
        <w:rPr>
          <w:rFonts w:hint="eastAsia" w:hAnsi="宋体"/>
          <w:color w:val="000000"/>
          <w:kern w:val="58"/>
          <w:sz w:val="21"/>
        </w:rPr>
      </w:pPr>
      <w:r>
        <w:rPr>
          <w:rFonts w:hint="eastAsia" w:hAnsi="宋体"/>
          <w:color w:val="000000"/>
          <w:kern w:val="58"/>
          <w:sz w:val="21"/>
        </w:rPr>
        <w:t>比选申请人用于本合同工程的各类材料、机械设备的提供、运输、拆卸、拼装等费用除非另有特别说明，否则视为已包括在工程量清单的综合单价与总价之中。</w:t>
      </w:r>
    </w:p>
    <w:p>
      <w:pPr>
        <w:pStyle w:val="5"/>
        <w:numPr>
          <w:ilvl w:val="0"/>
          <w:numId w:val="2"/>
        </w:numPr>
        <w:spacing w:line="360" w:lineRule="auto"/>
        <w:rPr>
          <w:rFonts w:hint="eastAsia" w:hAnsi="宋体"/>
          <w:color w:val="000000"/>
          <w:kern w:val="58"/>
          <w:sz w:val="21"/>
          <w:lang w:val="en-US" w:eastAsia="zh-CN"/>
        </w:rPr>
      </w:pPr>
      <w:r>
        <w:rPr>
          <w:rFonts w:hint="eastAsia" w:hAnsi="宋体"/>
          <w:color w:val="000000"/>
          <w:kern w:val="58"/>
          <w:sz w:val="21"/>
          <w:lang w:eastAsia="zh-CN"/>
        </w:rPr>
        <w:t>本合同工程的垃圾清运费用除非另有特别说明，否则视为已包括在工程量清单的综合单价与总价之中。</w:t>
      </w:r>
    </w:p>
    <w:p>
      <w:pPr>
        <w:pStyle w:val="5"/>
        <w:numPr>
          <w:ilvl w:val="0"/>
          <w:numId w:val="2"/>
        </w:numPr>
        <w:spacing w:line="360" w:lineRule="auto"/>
        <w:rPr>
          <w:rFonts w:hint="eastAsia" w:hAnsi="宋体"/>
          <w:color w:val="000000"/>
          <w:kern w:val="58"/>
          <w:sz w:val="21"/>
          <w:lang w:val="en-US" w:eastAsia="zh-CN"/>
        </w:rPr>
      </w:pPr>
      <w:r>
        <w:rPr>
          <w:rFonts w:hint="eastAsia" w:hAnsi="宋体"/>
          <w:color w:val="000000"/>
          <w:kern w:val="58"/>
          <w:sz w:val="21"/>
          <w:lang w:eastAsia="zh-CN"/>
        </w:rPr>
        <w:t>本合同工程的措施费用除非另有特别说明，否则视为已包括在工程量清单的综合单价与总价之中。</w:t>
      </w:r>
    </w:p>
    <w:p>
      <w:pPr>
        <w:pStyle w:val="5"/>
        <w:numPr>
          <w:ilvl w:val="0"/>
          <w:numId w:val="2"/>
        </w:numPr>
        <w:spacing w:line="360" w:lineRule="auto"/>
        <w:rPr>
          <w:rFonts w:hint="eastAsia" w:ascii="宋体" w:hAnsi="宋体"/>
          <w:color w:val="000000"/>
          <w:kern w:val="58"/>
          <w:sz w:val="21"/>
          <w:szCs w:val="20"/>
        </w:rPr>
      </w:pPr>
      <w:r>
        <w:rPr>
          <w:rFonts w:hint="eastAsia" w:hAnsi="宋体"/>
          <w:color w:val="000000"/>
          <w:kern w:val="58"/>
          <w:sz w:val="21"/>
        </w:rPr>
        <w:t>工程量计算规则按《</w:t>
      </w:r>
      <w:r>
        <w:rPr>
          <w:rFonts w:hint="eastAsia" w:hAnsi="宋体"/>
          <w:color w:val="000000"/>
          <w:kern w:val="58"/>
          <w:sz w:val="21"/>
          <w:lang w:val="en-US" w:eastAsia="zh-CN"/>
        </w:rPr>
        <w:t>通用安装工程工程量计算规范</w:t>
      </w:r>
      <w:r>
        <w:rPr>
          <w:rFonts w:hint="eastAsia" w:hAnsi="宋体"/>
          <w:color w:val="000000"/>
          <w:kern w:val="58"/>
          <w:sz w:val="21"/>
        </w:rPr>
        <w:t>》（</w:t>
      </w:r>
      <w:r>
        <w:rPr>
          <w:rFonts w:hint="eastAsia" w:hAnsi="宋体"/>
          <w:color w:val="000000"/>
          <w:kern w:val="58"/>
          <w:sz w:val="21"/>
          <w:lang w:val="en-US" w:eastAsia="zh-CN"/>
        </w:rPr>
        <w:t>GB50856-2013</w:t>
      </w:r>
      <w:r>
        <w:rPr>
          <w:rFonts w:hint="eastAsia" w:hAnsi="宋体"/>
          <w:color w:val="000000"/>
          <w:kern w:val="58"/>
          <w:sz w:val="21"/>
        </w:rPr>
        <w:t>）</w:t>
      </w:r>
      <w:r>
        <w:rPr>
          <w:rFonts w:hint="eastAsia" w:hAnsi="宋体"/>
          <w:color w:val="000000"/>
          <w:kern w:val="58"/>
          <w:sz w:val="21"/>
          <w:lang w:eastAsia="zh-CN"/>
        </w:rPr>
        <w:t>、</w:t>
      </w:r>
      <w:r>
        <w:rPr>
          <w:rFonts w:hint="eastAsia" w:hAnsi="宋体"/>
          <w:color w:val="000000"/>
          <w:kern w:val="58"/>
          <w:sz w:val="21"/>
          <w:lang w:val="en-US" w:eastAsia="zh-CN"/>
        </w:rPr>
        <w:t>《房屋建筑与装饰工程工程量计算规范》（GB50854-2013）。</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Microsoft YaHei UI">
    <w:panose1 w:val="020B0503020204020204"/>
    <w:charset w:val="86"/>
    <w:family w:val="swiss"/>
    <w:pitch w:val="default"/>
    <w:sig w:usb0="80000287" w:usb1="28CF3C52" w:usb2="00000016" w:usb3="00000000" w:csb0="0004001F" w:csb1="00000000"/>
  </w:font>
  <w:font w:name="Courier New">
    <w:panose1 w:val="02070309020205020404"/>
    <w:charset w:val="00"/>
    <w:family w:val="modern"/>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EAF5FD"/>
    <w:multiLevelType w:val="singleLevel"/>
    <w:tmpl w:val="5FEAF5FD"/>
    <w:lvl w:ilvl="0" w:tentative="0">
      <w:start w:val="7"/>
      <w:numFmt w:val="decimal"/>
      <w:suff w:val="nothing"/>
      <w:lvlText w:val="%1."/>
      <w:lvlJc w:val="left"/>
    </w:lvl>
  </w:abstractNum>
  <w:abstractNum w:abstractNumId="1">
    <w:nsid w:val="5FFE902D"/>
    <w:multiLevelType w:val="singleLevel"/>
    <w:tmpl w:val="5FFE902D"/>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335173"/>
    <w:rsid w:val="343351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4">
    <w:name w:val="heading 1"/>
    <w:basedOn w:val="1"/>
    <w:next w:val="1"/>
    <w:qFormat/>
    <w:uiPriority w:val="0"/>
    <w:pPr>
      <w:keepNext/>
      <w:keepLines/>
      <w:widowControl/>
      <w:spacing w:before="340" w:after="330" w:line="578" w:lineRule="atLeast"/>
      <w:jc w:val="left"/>
      <w:outlineLvl w:val="0"/>
    </w:pPr>
    <w:rPr>
      <w:b/>
      <w:bCs/>
      <w:kern w:val="44"/>
      <w:sz w:val="44"/>
      <w:szCs w:val="44"/>
    </w:rPr>
  </w:style>
  <w:style w:type="character" w:default="1" w:styleId="6">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2">
    <w:name w:val="Body Text First Indent"/>
    <w:basedOn w:val="3"/>
    <w:uiPriority w:val="0"/>
    <w:pPr>
      <w:spacing w:line="312" w:lineRule="auto"/>
      <w:ind w:firstLine="420"/>
    </w:pPr>
  </w:style>
  <w:style w:type="paragraph" w:styleId="3">
    <w:name w:val="Body Text"/>
    <w:basedOn w:val="1"/>
    <w:uiPriority w:val="0"/>
    <w:pPr>
      <w:spacing w:after="120" w:afterLines="0"/>
    </w:pPr>
  </w:style>
  <w:style w:type="paragraph" w:styleId="5">
    <w:name w:val="Plain Text"/>
    <w:basedOn w:val="1"/>
    <w:uiPriority w:val="0"/>
    <w:pPr>
      <w:spacing w:line="240" w:lineRule="auto"/>
    </w:pPr>
    <w:rPr>
      <w:rFonts w:ascii="宋体" w:hAnsi="Courier New"/>
      <w:kern w:val="0"/>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2021-01-22T07:33:00Z</dcterms:created>
  <dc:creator>Administrator</dc:creator>
  <cp:lastModifiedBy>Administrator</cp:lastModifiedBy>
  <dcterms:modified xsi:type="dcterms:W3CDTF">2021-01-22T07:33:51Z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ies>
</file>