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after="12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用户需求书</w:t>
      </w:r>
    </w:p>
    <w:p>
      <w:pPr>
        <w:rPr>
          <w:rFonts w:hint="eastAsia" w:ascii="宋体" w:hAnsi="宋体"/>
          <w:b/>
        </w:rPr>
      </w:pPr>
      <w:r>
        <w:rPr>
          <w:rFonts w:hint="eastAsia" w:ascii="宋体" w:hAnsi="宋体"/>
          <w:b/>
        </w:rPr>
        <w:t>1.项目概况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伴随着共享单车体系的逐渐完善，以轨道交通为核心的宁波市“一小时公共交通圈”日趋成熟，越来越多的市民乘客选择以非机动车（共享单车）转乘轨道交通的形式作为日常出行的主要方式。受此影响，车站出入口、站外广场等位置出现有非机动车停放混乱现象，不利于车站管理，有碍于市容站貌。为整洁站外整体环境，引导乘客有序停放非机动车，保障文明城市建设，现</w:t>
      </w:r>
      <w:r>
        <w:rPr>
          <w:rFonts w:hint="eastAsia" w:hAnsi="宋体"/>
          <w:color w:val="000000"/>
          <w:kern w:val="58"/>
          <w:sz w:val="21"/>
          <w:lang w:eastAsia="zh-CN"/>
        </w:rPr>
        <w:t>需</w:t>
      </w:r>
      <w:r>
        <w:rPr>
          <w:rFonts w:hint="eastAsia" w:hAnsi="宋体"/>
          <w:color w:val="000000"/>
          <w:kern w:val="58"/>
          <w:sz w:val="21"/>
        </w:rPr>
        <w:t>在既有线部分车站站外增设非机动车停放区域。</w:t>
      </w:r>
    </w:p>
    <w:p>
      <w:pPr>
        <w:rPr>
          <w:rFonts w:hint="eastAsia" w:ascii="宋体" w:hAnsi="宋体"/>
          <w:b/>
        </w:rPr>
      </w:pPr>
      <w:bookmarkStart w:id="0" w:name="_Toc50017090"/>
      <w:bookmarkStart w:id="1" w:name="_Hlk49175213"/>
      <w:r>
        <w:rPr>
          <w:rFonts w:hint="eastAsia" w:ascii="宋体" w:hAnsi="宋体"/>
          <w:b/>
          <w:lang w:val="en-US" w:eastAsia="zh-CN"/>
        </w:rPr>
        <w:t>2.</w:t>
      </w:r>
      <w:r>
        <w:rPr>
          <w:rFonts w:hint="eastAsia" w:ascii="宋体" w:hAnsi="宋体"/>
          <w:b/>
        </w:rPr>
        <w:t>改造方案</w:t>
      </w:r>
      <w:bookmarkEnd w:id="0"/>
      <w:bookmarkEnd w:id="1"/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  <w:lang w:val="en-US" w:eastAsia="zh-CN"/>
        </w:rPr>
        <w:t>2.</w:t>
      </w:r>
      <w:r>
        <w:rPr>
          <w:rFonts w:hint="eastAsia" w:hAnsi="宋体"/>
          <w:color w:val="000000"/>
          <w:kern w:val="58"/>
          <w:sz w:val="21"/>
        </w:rPr>
        <w:t>1经现场摸排，需机械铲除原有划线的工程量约</w:t>
      </w:r>
      <w:r>
        <w:rPr>
          <w:rFonts w:hint="eastAsia" w:hAnsi="宋体"/>
          <w:color w:val="000000"/>
          <w:kern w:val="58"/>
          <w:sz w:val="21"/>
          <w:lang w:val="en-US" w:eastAsia="zh-CN"/>
        </w:rPr>
        <w:t>800</w:t>
      </w:r>
      <w:r>
        <w:rPr>
          <w:rFonts w:hint="eastAsia" w:hAnsi="宋体"/>
          <w:color w:val="000000"/>
          <w:kern w:val="58"/>
          <w:sz w:val="21"/>
        </w:rPr>
        <w:t>平方米。需增加划线工程量如下表：</w:t>
      </w:r>
      <w:bookmarkStart w:id="2" w:name="_Hlk49174925"/>
    </w:p>
    <w:tbl>
      <w:tblPr>
        <w:tblStyle w:val="8"/>
        <w:tblW w:w="90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1993"/>
        <w:gridCol w:w="2325"/>
        <w:gridCol w:w="23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9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线别</w:t>
            </w:r>
          </w:p>
        </w:tc>
        <w:tc>
          <w:tcPr>
            <w:tcW w:w="1993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非机动车停车区域（处）</w:t>
            </w:r>
          </w:p>
        </w:tc>
        <w:tc>
          <w:tcPr>
            <w:tcW w:w="2325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热熔标线长度（米）</w:t>
            </w:r>
          </w:p>
        </w:tc>
        <w:tc>
          <w:tcPr>
            <w:tcW w:w="2325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面积（平方米）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9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1号线</w:t>
            </w:r>
          </w:p>
        </w:tc>
        <w:tc>
          <w:tcPr>
            <w:tcW w:w="1993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49</w:t>
            </w:r>
          </w:p>
        </w:tc>
        <w:tc>
          <w:tcPr>
            <w:tcW w:w="2325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  <w:lang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204</w:t>
            </w: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5</w:t>
            </w:r>
          </w:p>
        </w:tc>
        <w:tc>
          <w:tcPr>
            <w:tcW w:w="2325" w:type="dxa"/>
            <w:vAlign w:val="center"/>
          </w:tcPr>
          <w:p>
            <w:pPr>
              <w:pStyle w:val="5"/>
              <w:spacing w:line="360" w:lineRule="auto"/>
              <w:ind w:firstLine="420" w:firstLineChars="200"/>
              <w:rPr>
                <w:rFonts w:hint="default" w:hAnsi="宋体"/>
                <w:color w:val="000000"/>
                <w:kern w:val="58"/>
                <w:sz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306.75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9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2号线</w:t>
            </w:r>
          </w:p>
        </w:tc>
        <w:tc>
          <w:tcPr>
            <w:tcW w:w="1993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27</w:t>
            </w:r>
          </w:p>
        </w:tc>
        <w:tc>
          <w:tcPr>
            <w:tcW w:w="2325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default" w:hAnsi="宋体"/>
                <w:color w:val="000000"/>
                <w:kern w:val="58"/>
                <w:sz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1620</w:t>
            </w:r>
          </w:p>
        </w:tc>
        <w:tc>
          <w:tcPr>
            <w:tcW w:w="2325" w:type="dxa"/>
            <w:vAlign w:val="center"/>
          </w:tcPr>
          <w:p>
            <w:pPr>
              <w:pStyle w:val="5"/>
              <w:spacing w:line="360" w:lineRule="auto"/>
              <w:ind w:firstLine="420" w:firstLineChars="200"/>
              <w:rPr>
                <w:rFonts w:hint="default" w:hAnsi="宋体"/>
                <w:color w:val="000000"/>
                <w:kern w:val="58"/>
                <w:sz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243.00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9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3号线一期及鄞奉段</w:t>
            </w:r>
          </w:p>
        </w:tc>
        <w:tc>
          <w:tcPr>
            <w:tcW w:w="1993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40</w:t>
            </w:r>
          </w:p>
        </w:tc>
        <w:tc>
          <w:tcPr>
            <w:tcW w:w="2325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  <w:lang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141</w:t>
            </w: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5</w:t>
            </w:r>
          </w:p>
        </w:tc>
        <w:tc>
          <w:tcPr>
            <w:tcW w:w="2325" w:type="dxa"/>
            <w:vAlign w:val="center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212.25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9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4号线</w:t>
            </w:r>
          </w:p>
        </w:tc>
        <w:tc>
          <w:tcPr>
            <w:tcW w:w="1993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47</w:t>
            </w:r>
          </w:p>
        </w:tc>
        <w:tc>
          <w:tcPr>
            <w:tcW w:w="2325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  <w:lang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126</w:t>
            </w: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5</w:t>
            </w:r>
          </w:p>
        </w:tc>
        <w:tc>
          <w:tcPr>
            <w:tcW w:w="2325" w:type="dxa"/>
            <w:vAlign w:val="center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189.75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9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总计</w:t>
            </w:r>
          </w:p>
        </w:tc>
        <w:tc>
          <w:tcPr>
            <w:tcW w:w="1993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</w:rPr>
            </w:pPr>
            <w:r>
              <w:rPr>
                <w:rFonts w:hint="eastAsia" w:hAnsi="宋体"/>
                <w:color w:val="000000"/>
                <w:kern w:val="58"/>
                <w:sz w:val="21"/>
              </w:rPr>
              <w:t>163</w:t>
            </w:r>
          </w:p>
        </w:tc>
        <w:tc>
          <w:tcPr>
            <w:tcW w:w="2325" w:type="dxa"/>
            <w:vAlign w:val="top"/>
          </w:tcPr>
          <w:p>
            <w:pPr>
              <w:pStyle w:val="5"/>
              <w:spacing w:line="360" w:lineRule="auto"/>
              <w:ind w:firstLine="420" w:firstLineChars="200"/>
              <w:rPr>
                <w:rFonts w:hint="default" w:hAnsi="宋体"/>
                <w:color w:val="000000"/>
                <w:kern w:val="58"/>
                <w:sz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5790</w:t>
            </w:r>
          </w:p>
        </w:tc>
        <w:tc>
          <w:tcPr>
            <w:tcW w:w="2325" w:type="dxa"/>
            <w:vAlign w:val="center"/>
          </w:tcPr>
          <w:p>
            <w:pPr>
              <w:pStyle w:val="5"/>
              <w:spacing w:line="360" w:lineRule="auto"/>
              <w:ind w:firstLine="420" w:firstLineChars="200"/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kern w:val="58"/>
                <w:sz w:val="21"/>
                <w:lang w:val="en-US" w:eastAsia="zh-CN"/>
              </w:rPr>
              <w:t>868.5</w:t>
            </w:r>
          </w:p>
        </w:tc>
      </w:tr>
    </w:tbl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  <w:lang w:val="en-US" w:eastAsia="zh-CN"/>
        </w:rPr>
        <w:t>2.</w:t>
      </w:r>
      <w:r>
        <w:rPr>
          <w:rFonts w:hint="eastAsia" w:hAnsi="宋体"/>
          <w:color w:val="000000"/>
          <w:kern w:val="58"/>
          <w:sz w:val="21"/>
        </w:rPr>
        <w:t>2车站站外非机动车停放区设置技术要求：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非机动车停放区设施的设置应符合国家和行业现行有关标准的规定。标志标线的原材料、力学性能、外观质量、使用功效应符合《道路交通标志和标线》（GB5768-2009）和《城市道路交通标志和标线设置规范》（GB51038-2015）等规范的相关规定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标准线框为闭合四边形，若施划条件受限，可施划三条边线，其中一边利用围墙、侧石、隔离栏等进行围合。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停放区域边线长度不宜小于400cm，且不宜超过2000cm，多个连续停放点组合时，停放点之间宜留有不小于 300cm 的间隔，停放点边线宽度设置15cm左右（可根据现场情况调整线宽）。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非机动车停放区域所施划的标线涂料类型宜采用热熔型，施划标线应清晰、顺直、均匀。新增标线的颜色宜为白色(R255,G255,B255)，补涂处标线颜色应与原有颜色保持一致。</w:t>
      </w:r>
    </w:p>
    <w:bookmarkEnd w:id="2"/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热熔涂料划线前，清扫需要划线的路面，并将原有存在缺陷得涂料类标线采用铲除，使之表面清洁干燥，无灰尘、油污或其它有害物质，然后进行打水线点。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喷涂施工应在白天进行，雨天、尘大、风大、温度低于10℃时应暂停施工。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有缺陷的、施工不当、尺寸不正确或位置错误的标线均应清除，并予以更正。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喷涂标线时，应设置适当摆设警示标志，阻止车辆及行人在作业区内的通行，保证施工安全，防止将涂料带出或形成车辙，直至标线充分干燥。</w:t>
      </w:r>
    </w:p>
    <w:p>
      <w:pPr>
        <w:rPr>
          <w:rFonts w:hint="eastAsia" w:ascii="宋体" w:hAnsi="宋体"/>
          <w:b/>
          <w:highlight w:val="none"/>
        </w:rPr>
      </w:pPr>
      <w:bookmarkStart w:id="3" w:name="_Toc516060584"/>
      <w:r>
        <w:rPr>
          <w:rFonts w:hint="eastAsia" w:ascii="宋体" w:hAnsi="宋体"/>
          <w:b/>
          <w:highlight w:val="none"/>
          <w:lang w:val="en-US" w:eastAsia="zh-CN"/>
        </w:rPr>
        <w:t>3</w:t>
      </w:r>
      <w:r>
        <w:rPr>
          <w:rFonts w:hint="eastAsia" w:ascii="宋体" w:hAnsi="宋体"/>
          <w:b/>
          <w:highlight w:val="none"/>
        </w:rPr>
        <w:t>.项目实施</w:t>
      </w:r>
      <w:bookmarkEnd w:id="3"/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  <w:highlight w:val="none"/>
        </w:rPr>
      </w:pPr>
      <w:r>
        <w:rPr>
          <w:rFonts w:hint="eastAsia" w:hAnsi="宋体"/>
          <w:color w:val="000000"/>
          <w:kern w:val="58"/>
          <w:sz w:val="21"/>
          <w:highlight w:val="none"/>
          <w:lang w:val="en-US" w:eastAsia="zh-CN"/>
        </w:rPr>
        <w:t>3</w:t>
      </w:r>
      <w:r>
        <w:rPr>
          <w:rFonts w:hint="eastAsia" w:hAnsi="宋体"/>
          <w:color w:val="000000"/>
          <w:kern w:val="58"/>
          <w:sz w:val="21"/>
          <w:highlight w:val="none"/>
        </w:rPr>
        <w:t>.1施工期间需遵守宁波轨道交通运营分公司相关管理规定，办理出入手续，人员登记手续等。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  <w:highlight w:val="none"/>
        </w:rPr>
      </w:pPr>
      <w:r>
        <w:rPr>
          <w:rFonts w:hint="eastAsia" w:hAnsi="宋体"/>
          <w:color w:val="000000"/>
          <w:kern w:val="58"/>
          <w:sz w:val="21"/>
          <w:highlight w:val="none"/>
          <w:lang w:val="en-US" w:eastAsia="zh-CN"/>
        </w:rPr>
        <w:t>3</w:t>
      </w:r>
      <w:r>
        <w:rPr>
          <w:rFonts w:hint="eastAsia" w:hAnsi="宋体"/>
          <w:color w:val="000000"/>
          <w:kern w:val="58"/>
          <w:sz w:val="21"/>
          <w:highlight w:val="none"/>
        </w:rPr>
        <w:t>.2施工期间不得破坏非施工区域设施设备及装修等，施工中需接受运营分公司归口单位的及相关部门的管理和监督，施工后需安排垃圾清运。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  <w:highlight w:val="none"/>
        </w:rPr>
      </w:pPr>
      <w:r>
        <w:rPr>
          <w:rFonts w:hint="eastAsia" w:hAnsi="宋体"/>
          <w:color w:val="000000"/>
          <w:kern w:val="58"/>
          <w:sz w:val="21"/>
          <w:highlight w:val="none"/>
          <w:lang w:val="en-US" w:eastAsia="zh-CN"/>
        </w:rPr>
        <w:t>3</w:t>
      </w:r>
      <w:r>
        <w:rPr>
          <w:rFonts w:hint="eastAsia" w:hAnsi="宋体"/>
          <w:color w:val="000000"/>
          <w:kern w:val="58"/>
          <w:sz w:val="21"/>
          <w:highlight w:val="none"/>
        </w:rPr>
        <w:t>.3严格按照要求堆放原材料及料具，现场要加强场容管理，使现场做到整齐、干净、节约、安全、施工秩序良好。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  <w:highlight w:val="none"/>
        </w:rPr>
      </w:pPr>
      <w:r>
        <w:rPr>
          <w:rFonts w:hint="eastAsia" w:hAnsi="宋体"/>
          <w:color w:val="000000"/>
          <w:kern w:val="58"/>
          <w:sz w:val="21"/>
          <w:highlight w:val="none"/>
          <w:lang w:val="en-US" w:eastAsia="zh-CN"/>
        </w:rPr>
        <w:t>3</w:t>
      </w:r>
      <w:r>
        <w:rPr>
          <w:rFonts w:hint="eastAsia" w:hAnsi="宋体"/>
          <w:color w:val="000000"/>
          <w:kern w:val="58"/>
          <w:sz w:val="21"/>
          <w:highlight w:val="none"/>
        </w:rPr>
        <w:t>.4注意安全用电，电线应理顺，不能乱拉乱挂，加强安全用电，统一使用标准安全电箱，教育职工自觉遵守安全用电制度和持证上岗制，防止用电事故发生。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  <w:highlight w:val="none"/>
        </w:rPr>
      </w:pPr>
      <w:r>
        <w:rPr>
          <w:rFonts w:hint="eastAsia" w:hAnsi="宋体"/>
          <w:color w:val="000000"/>
          <w:kern w:val="58"/>
          <w:sz w:val="21"/>
          <w:highlight w:val="none"/>
          <w:lang w:val="en-US" w:eastAsia="zh-CN"/>
        </w:rPr>
        <w:t>3</w:t>
      </w:r>
      <w:r>
        <w:rPr>
          <w:rFonts w:hint="eastAsia" w:hAnsi="宋体"/>
          <w:color w:val="000000"/>
          <w:kern w:val="58"/>
          <w:sz w:val="21"/>
          <w:highlight w:val="none"/>
        </w:rPr>
        <w:t>.5施工前须由负责人向施工人员进行技术交底和安全交底，未经教育者不得进入施工现场作业，进入施工场地着装统一整齐，穿戴劳动防护用品，防止造成人身伤害。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  <w:highlight w:val="none"/>
        </w:rPr>
      </w:pPr>
      <w:r>
        <w:rPr>
          <w:rFonts w:hint="eastAsia" w:hAnsi="宋体"/>
          <w:color w:val="000000"/>
          <w:kern w:val="58"/>
          <w:sz w:val="21"/>
          <w:highlight w:val="none"/>
          <w:lang w:val="en-US" w:eastAsia="zh-CN"/>
        </w:rPr>
        <w:t>3</w:t>
      </w:r>
      <w:r>
        <w:rPr>
          <w:rFonts w:hint="eastAsia" w:hAnsi="宋体"/>
          <w:color w:val="000000"/>
          <w:kern w:val="58"/>
          <w:sz w:val="21"/>
          <w:highlight w:val="none"/>
        </w:rPr>
        <w:t>.6在施工过程中，要严格落实施工方案的具体要求，每一道工序完成后均应自检。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  <w:highlight w:val="none"/>
        </w:rPr>
      </w:pPr>
      <w:r>
        <w:rPr>
          <w:rFonts w:hint="eastAsia" w:hAnsi="宋体"/>
          <w:color w:val="000000"/>
          <w:kern w:val="58"/>
          <w:sz w:val="21"/>
          <w:highlight w:val="none"/>
          <w:lang w:val="en-US" w:eastAsia="zh-CN"/>
        </w:rPr>
        <w:t>3</w:t>
      </w:r>
      <w:r>
        <w:rPr>
          <w:rFonts w:hint="eastAsia" w:hAnsi="宋体"/>
          <w:color w:val="000000"/>
          <w:kern w:val="58"/>
          <w:sz w:val="21"/>
          <w:highlight w:val="none"/>
        </w:rPr>
        <w:t>.7专人定期对施工机械设备进行维修、保养，以保证其满足施工所需，所有进场设备必须保持良好状态。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bookmarkStart w:id="4" w:name="_Toc516060588"/>
      <w:r>
        <w:rPr>
          <w:rFonts w:hint="eastAsia" w:hAnsi="宋体"/>
          <w:color w:val="000000"/>
          <w:kern w:val="58"/>
          <w:sz w:val="21"/>
        </w:rPr>
        <w:t>4</w:t>
      </w:r>
      <w:bookmarkEnd w:id="4"/>
      <w:r>
        <w:rPr>
          <w:rFonts w:hint="eastAsia" w:hAnsi="宋体"/>
          <w:color w:val="000000"/>
          <w:kern w:val="58"/>
          <w:sz w:val="21"/>
          <w:lang w:eastAsia="zh-CN"/>
        </w:rPr>
        <w:t>质量</w:t>
      </w:r>
      <w:r>
        <w:rPr>
          <w:rFonts w:hint="eastAsia" w:ascii="宋体" w:hAnsi="宋体"/>
          <w:sz w:val="21"/>
          <w:szCs w:val="21"/>
        </w:rPr>
        <w:t>缺陷责任</w:t>
      </w:r>
      <w:r>
        <w:rPr>
          <w:rFonts w:hint="eastAsia" w:hAnsi="宋体"/>
          <w:sz w:val="21"/>
          <w:szCs w:val="21"/>
          <w:lang w:eastAsia="zh-CN"/>
        </w:rPr>
        <w:t>期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4.1</w:t>
      </w:r>
      <w:r>
        <w:rPr>
          <w:rFonts w:hint="eastAsia" w:hAnsi="宋体"/>
          <w:color w:val="000000"/>
          <w:kern w:val="58"/>
          <w:sz w:val="21"/>
          <w:lang w:eastAsia="zh-CN"/>
        </w:rPr>
        <w:t>质量</w:t>
      </w:r>
      <w:r>
        <w:rPr>
          <w:rFonts w:hint="eastAsia" w:ascii="宋体" w:hAnsi="宋体"/>
          <w:sz w:val="21"/>
          <w:szCs w:val="21"/>
        </w:rPr>
        <w:t>缺陷责任</w:t>
      </w:r>
      <w:r>
        <w:rPr>
          <w:rFonts w:hint="eastAsia" w:hAnsi="宋体"/>
          <w:sz w:val="21"/>
          <w:szCs w:val="21"/>
          <w:lang w:eastAsia="zh-CN"/>
        </w:rPr>
        <w:t>期</w:t>
      </w:r>
      <w:r>
        <w:rPr>
          <w:rFonts w:hint="eastAsia" w:hAnsi="宋体"/>
          <w:color w:val="000000"/>
          <w:kern w:val="58"/>
          <w:sz w:val="21"/>
        </w:rPr>
        <w:t>自验收完成之日起计算，</w:t>
      </w:r>
      <w:r>
        <w:rPr>
          <w:rFonts w:hint="eastAsia" w:hAnsi="宋体"/>
          <w:color w:val="000000"/>
          <w:kern w:val="58"/>
          <w:sz w:val="21"/>
          <w:lang w:eastAsia="zh-CN"/>
        </w:rPr>
        <w:t>质量</w:t>
      </w:r>
      <w:r>
        <w:rPr>
          <w:rFonts w:hint="eastAsia" w:ascii="宋体" w:hAnsi="宋体"/>
          <w:sz w:val="21"/>
          <w:szCs w:val="21"/>
        </w:rPr>
        <w:t>缺陷责任</w:t>
      </w:r>
      <w:r>
        <w:rPr>
          <w:rFonts w:hint="eastAsia" w:hAnsi="宋体"/>
          <w:sz w:val="21"/>
          <w:szCs w:val="21"/>
          <w:lang w:eastAsia="zh-CN"/>
        </w:rPr>
        <w:t>期</w:t>
      </w:r>
      <w:r>
        <w:rPr>
          <w:rFonts w:hint="eastAsia" w:hAnsi="宋体"/>
          <w:color w:val="000000"/>
          <w:kern w:val="58"/>
          <w:sz w:val="21"/>
        </w:rPr>
        <w:t>为</w:t>
      </w:r>
      <w:r>
        <w:rPr>
          <w:rFonts w:hint="eastAsia" w:hAnsi="宋体"/>
          <w:color w:val="000000"/>
          <w:kern w:val="58"/>
          <w:sz w:val="21"/>
          <w:lang w:val="en-US" w:eastAsia="zh-CN"/>
        </w:rPr>
        <w:t>12个月</w:t>
      </w:r>
      <w:r>
        <w:rPr>
          <w:rFonts w:hint="eastAsia" w:hAnsi="宋体"/>
          <w:color w:val="000000"/>
          <w:kern w:val="58"/>
          <w:sz w:val="21"/>
        </w:rPr>
        <w:t>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4.2</w:t>
      </w:r>
      <w:r>
        <w:rPr>
          <w:rFonts w:hint="eastAsia" w:hAnsi="宋体"/>
          <w:color w:val="000000"/>
          <w:kern w:val="58"/>
          <w:sz w:val="21"/>
          <w:lang w:eastAsia="zh-CN"/>
        </w:rPr>
        <w:t>质量</w:t>
      </w:r>
      <w:r>
        <w:rPr>
          <w:rFonts w:hint="eastAsia" w:ascii="宋体" w:hAnsi="宋体"/>
          <w:sz w:val="21"/>
          <w:szCs w:val="21"/>
        </w:rPr>
        <w:t>缺陷责任</w:t>
      </w:r>
      <w:r>
        <w:rPr>
          <w:rFonts w:hint="eastAsia" w:hAnsi="宋体"/>
          <w:sz w:val="21"/>
          <w:szCs w:val="21"/>
          <w:lang w:eastAsia="zh-CN"/>
        </w:rPr>
        <w:t>期</w:t>
      </w:r>
      <w:r>
        <w:rPr>
          <w:rFonts w:hint="eastAsia" w:hAnsi="宋体"/>
          <w:color w:val="000000"/>
          <w:kern w:val="58"/>
          <w:sz w:val="21"/>
        </w:rPr>
        <w:t>内成交人的</w:t>
      </w:r>
      <w:r>
        <w:rPr>
          <w:rFonts w:hint="eastAsia" w:ascii="宋体" w:hAnsi="宋体"/>
          <w:sz w:val="21"/>
          <w:szCs w:val="21"/>
        </w:rPr>
        <w:t>缺陷</w:t>
      </w:r>
      <w:r>
        <w:rPr>
          <w:rFonts w:hint="eastAsia" w:hAnsi="宋体"/>
          <w:sz w:val="21"/>
          <w:szCs w:val="21"/>
          <w:lang w:eastAsia="zh-CN"/>
        </w:rPr>
        <w:t>修复</w:t>
      </w:r>
      <w:r>
        <w:rPr>
          <w:rFonts w:hint="eastAsia" w:hAnsi="宋体"/>
          <w:color w:val="000000"/>
          <w:kern w:val="58"/>
          <w:sz w:val="21"/>
        </w:rPr>
        <w:t>责任：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在上述规定的质</w:t>
      </w:r>
      <w:r>
        <w:rPr>
          <w:rFonts w:hint="eastAsia" w:hAnsi="宋体"/>
          <w:color w:val="000000"/>
          <w:kern w:val="58"/>
          <w:sz w:val="21"/>
          <w:lang w:eastAsia="zh-CN"/>
        </w:rPr>
        <w:t>质量</w:t>
      </w:r>
      <w:r>
        <w:rPr>
          <w:rFonts w:hint="eastAsia" w:ascii="宋体" w:hAnsi="宋体"/>
          <w:sz w:val="21"/>
          <w:szCs w:val="21"/>
        </w:rPr>
        <w:t>缺陷责任</w:t>
      </w:r>
      <w:r>
        <w:rPr>
          <w:rFonts w:hint="eastAsia" w:hAnsi="宋体"/>
          <w:sz w:val="21"/>
          <w:szCs w:val="21"/>
          <w:lang w:eastAsia="zh-CN"/>
        </w:rPr>
        <w:t>期</w:t>
      </w:r>
      <w:r>
        <w:rPr>
          <w:rFonts w:hint="eastAsia" w:hAnsi="宋体"/>
          <w:color w:val="000000"/>
          <w:kern w:val="58"/>
          <w:sz w:val="21"/>
        </w:rPr>
        <w:t>内，因本身质量所出现的问题、缺陷等，成交人应承担一切责任，并根据情况进行维修。维修后应重新计算质保期，所发生的一切费用由成交人承担。</w:t>
      </w:r>
    </w:p>
    <w:p>
      <w:pPr>
        <w:pStyle w:val="5"/>
        <w:spacing w:line="360" w:lineRule="auto"/>
        <w:ind w:firstLine="420" w:firstLineChars="200"/>
        <w:rPr>
          <w:rFonts w:hint="eastAsia" w:hAnsi="宋体"/>
          <w:color w:val="000000"/>
          <w:kern w:val="58"/>
          <w:sz w:val="21"/>
        </w:rPr>
      </w:pPr>
      <w:r>
        <w:rPr>
          <w:rFonts w:hint="eastAsia" w:hAnsi="宋体"/>
          <w:color w:val="000000"/>
          <w:kern w:val="58"/>
          <w:sz w:val="21"/>
        </w:rPr>
        <w:t>成交人在接到报修24小时之内必须赶到现场，进行维修处理。</w:t>
      </w:r>
    </w:p>
    <w:p>
      <w:pPr>
        <w:pStyle w:val="2"/>
        <w:ind w:firstLine="0"/>
        <w:rPr>
          <w:rFonts w:hint="eastAsia"/>
        </w:rPr>
      </w:pPr>
    </w:p>
    <w:p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D31588"/>
    <w:rsid w:val="2DD3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ind w:firstLine="420"/>
    </w:pPr>
    <w:rPr>
      <w:szCs w:val="20"/>
    </w:rPr>
  </w:style>
  <w:style w:type="paragraph" w:styleId="3">
    <w:name w:val="Body Text"/>
    <w:basedOn w:val="1"/>
    <w:uiPriority w:val="0"/>
    <w:pPr>
      <w:spacing w:after="120"/>
    </w:pPr>
  </w:style>
  <w:style w:type="paragraph" w:styleId="5">
    <w:name w:val="Plain Text"/>
    <w:basedOn w:val="1"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2021-04-06T01:31:00Z</dcterms:created>
  <dc:creator>Administrator</dc:creator>
  <cp:lastModifiedBy>Administrator</cp:lastModifiedBy>
  <dcterms:modified xsi:type="dcterms:W3CDTF">2021-04-06T01:31:49Z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