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outlineLvl w:val="0"/>
        <w:rPr>
          <w:rFonts w:hint="eastAsia" w:eastAsia="宋体"/>
          <w:color w:val="000000" w:themeColor="text1"/>
          <w:sz w:val="32"/>
          <w:szCs w:val="32"/>
          <w:highlight w:val="none"/>
          <w:lang w:eastAsia="zh-CN"/>
          <w14:textFill>
            <w14:solidFill>
              <w14:schemeClr w14:val="tx1"/>
            </w14:solidFill>
          </w14:textFill>
        </w:rPr>
      </w:pPr>
      <w:r>
        <w:rPr>
          <w:rFonts w:hint="eastAsia"/>
          <w:color w:val="000000" w:themeColor="text1"/>
          <w:sz w:val="32"/>
          <w:szCs w:val="32"/>
          <w:highlight w:val="none"/>
          <w:lang w:eastAsia="zh-CN"/>
          <w14:textFill>
            <w14:solidFill>
              <w14:schemeClr w14:val="tx1"/>
            </w14:solidFill>
          </w14:textFill>
        </w:rPr>
        <w:t>用户需求书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一、项目检测范围</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本项目检测范围包括运营分公司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1个控制中心、5个车辆段（</w:t>
      </w:r>
      <w:r>
        <w:rPr>
          <w:rFonts w:hint="eastAsia" w:ascii="宋体" w:hAnsi="宋体" w:eastAsia="宋体" w:cs="宋体"/>
          <w:color w:val="000000" w:themeColor="text1"/>
          <w:sz w:val="21"/>
          <w:szCs w:val="21"/>
          <w:highlight w:val="none"/>
          <w:lang w:eastAsia="zh-CN"/>
          <w14:textFill>
            <w14:solidFill>
              <w14:schemeClr w14:val="tx1"/>
            </w14:solidFill>
          </w14:textFill>
        </w:rPr>
        <w:t>天童庄车辆段、黄隘车辆段、首南车辆段、</w:t>
      </w:r>
      <w:r>
        <w:rPr>
          <w:rFonts w:hint="eastAsia" w:ascii="宋体" w:hAnsi="宋体" w:eastAsia="宋体" w:cs="宋体"/>
          <w:color w:val="000000" w:themeColor="text1"/>
          <w:sz w:val="21"/>
          <w:szCs w:val="21"/>
          <w:highlight w:val="none"/>
          <w:lang w:val="en-US" w:eastAsia="zh-CN"/>
          <w14:textFill>
            <w14:solidFill>
              <w14:schemeClr w14:val="tx1"/>
            </w14:solidFill>
          </w14:textFill>
        </w:rPr>
        <w:t>东钱湖车辆段、经堂庵跟车辆段）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个停车场（江南停车场、朱塘村停车场，东外环停车场、</w:t>
      </w:r>
      <w:r>
        <w:rPr>
          <w:rFonts w:hint="eastAsia" w:ascii="宋体" w:hAnsi="宋体" w:eastAsia="宋体" w:cs="宋体"/>
          <w:color w:val="000000" w:themeColor="text1"/>
          <w:sz w:val="21"/>
          <w:szCs w:val="21"/>
          <w:highlight w:val="none"/>
          <w:lang w:val="en-US" w:eastAsia="zh-CN"/>
          <w14:textFill>
            <w14:solidFill>
              <w14:schemeClr w14:val="tx1"/>
            </w14:solidFill>
          </w14:textFill>
        </w:rPr>
        <w:t>奉化停车场、慈城停车场、</w:t>
      </w:r>
      <w:r>
        <w:rPr>
          <w:rFonts w:hint="eastAsia" w:ascii="宋体" w:hAnsi="宋体" w:eastAsia="宋体" w:cs="宋体"/>
          <w:color w:val="000000" w:themeColor="text1"/>
          <w:sz w:val="21"/>
          <w:szCs w:val="21"/>
          <w:highlight w:val="none"/>
          <w:lang w:eastAsia="zh-CN"/>
          <w14:textFill>
            <w14:solidFill>
              <w14:schemeClr w14:val="tx1"/>
            </w14:solidFill>
          </w14:textFill>
        </w:rPr>
        <w:t>前殷停车场）、</w:t>
      </w:r>
      <w:r>
        <w:rPr>
          <w:rFonts w:hint="eastAsia" w:ascii="宋体" w:hAnsi="宋体" w:eastAsia="宋体" w:cs="宋体"/>
          <w:color w:val="000000" w:themeColor="text1"/>
          <w:sz w:val="21"/>
          <w:szCs w:val="21"/>
          <w:highlight w:val="none"/>
          <w:lang w:val="en-US" w:eastAsia="zh-CN"/>
          <w14:textFill>
            <w14:solidFill>
              <w14:schemeClr w14:val="tx1"/>
            </w14:solidFill>
          </w14:textFill>
        </w:rPr>
        <w:t>8个主变电所（</w:t>
      </w:r>
      <w:r>
        <w:rPr>
          <w:rFonts w:hint="eastAsia" w:ascii="宋体" w:hAnsi="宋体" w:eastAsia="宋体" w:cs="宋体"/>
          <w:color w:val="000000" w:themeColor="text1"/>
          <w:sz w:val="21"/>
          <w:szCs w:val="21"/>
          <w:highlight w:val="none"/>
          <w:lang w:eastAsia="zh-CN"/>
          <w14:textFill>
            <w14:solidFill>
              <w14:schemeClr w14:val="tx1"/>
            </w14:solidFill>
          </w14:textFill>
        </w:rPr>
        <w:t>樱花主变电所、望春主变电所、岩河主变电所、双桥主变电所、三官堂主变电所、</w:t>
      </w:r>
      <w:r>
        <w:rPr>
          <w:rFonts w:hint="eastAsia" w:ascii="宋体" w:hAnsi="宋体" w:eastAsia="宋体" w:cs="宋体"/>
          <w:color w:val="000000" w:themeColor="text1"/>
          <w:sz w:val="21"/>
          <w:szCs w:val="21"/>
          <w:highlight w:val="none"/>
          <w:lang w:val="en-US" w:eastAsia="zh-CN"/>
          <w14:textFill>
            <w14:solidFill>
              <w14:schemeClr w14:val="tx1"/>
            </w14:solidFill>
          </w14:textFill>
        </w:rPr>
        <w:t>蒋家主变电所、谢家主变电所、甬兴主变电所）、1个票卡清洗室以及1、2、3、4、5号线25个代表性车站</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二、检测危害因素</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根据职业病危害因素分布情况，需检测的危害因素有：噪声、粉尘、电磁辐射、化学物质等。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三、检测时间</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本次检测项目分3年进行。2021年</w:t>
      </w:r>
      <w:r>
        <w:rPr>
          <w:rFonts w:hint="eastAsia" w:ascii="宋体" w:hAnsi="宋体" w:cs="宋体"/>
          <w:color w:val="000000" w:themeColor="text1"/>
          <w:sz w:val="21"/>
          <w:szCs w:val="21"/>
          <w:highlight w:val="none"/>
          <w:lang w:val="en-US"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在接到</w:t>
      </w:r>
      <w:r>
        <w:rPr>
          <w:rFonts w:hint="eastAsia" w:ascii="宋体" w:hAnsi="宋体" w:cs="宋体"/>
          <w:color w:val="000000" w:themeColor="text1"/>
          <w:sz w:val="21"/>
          <w:szCs w:val="21"/>
          <w:highlight w:val="none"/>
          <w:lang w:val="en-US" w:eastAsia="zh-CN"/>
          <w14:textFill>
            <w14:solidFill>
              <w14:schemeClr w14:val="tx1"/>
            </w14:solidFill>
          </w14:textFill>
        </w:rPr>
        <w:t>成交通知书</w:t>
      </w:r>
      <w:r>
        <w:rPr>
          <w:rFonts w:hint="eastAsia" w:ascii="宋体" w:hAnsi="宋体" w:eastAsia="宋体" w:cs="宋体"/>
          <w:color w:val="000000" w:themeColor="text1"/>
          <w:sz w:val="21"/>
          <w:szCs w:val="21"/>
          <w:highlight w:val="none"/>
          <w:lang w:val="en-US" w:eastAsia="zh-CN"/>
          <w14:textFill>
            <w14:solidFill>
              <w14:schemeClr w14:val="tx1"/>
            </w14:solidFill>
          </w14:textFill>
        </w:rPr>
        <w:t>后，在</w:t>
      </w:r>
      <w:r>
        <w:rPr>
          <w:rFonts w:hint="eastAsia" w:ascii="宋体" w:hAnsi="宋体" w:cs="宋体"/>
          <w:color w:val="000000" w:themeColor="text1"/>
          <w:sz w:val="21"/>
          <w:szCs w:val="21"/>
          <w:highlight w:val="none"/>
          <w:lang w:val="en-US"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val="en-US" w:eastAsia="zh-CN"/>
          <w14:textFill>
            <w14:solidFill>
              <w14:schemeClr w14:val="tx1"/>
            </w14:solidFill>
          </w14:textFill>
        </w:rPr>
        <w:t>规定时间内，编制完成检测计划，确定检测具体的工作时间和工作方案；计划确定后，30日内完成检测工作；2022年及2023年根据2021年的具体检测情况，由</w:t>
      </w:r>
      <w:r>
        <w:rPr>
          <w:rFonts w:hint="eastAsia" w:ascii="宋体" w:hAnsi="宋体" w:cs="宋体"/>
          <w:color w:val="000000" w:themeColor="text1"/>
          <w:sz w:val="21"/>
          <w:szCs w:val="21"/>
          <w:highlight w:val="none"/>
          <w:lang w:val="en-US"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val="en-US" w:eastAsia="zh-CN"/>
          <w14:textFill>
            <w14:solidFill>
              <w14:schemeClr w14:val="tx1"/>
            </w14:solidFill>
          </w14:textFill>
        </w:rPr>
        <w:t>明确具体检测时间，</w:t>
      </w:r>
      <w:r>
        <w:rPr>
          <w:rFonts w:hint="eastAsia" w:ascii="宋体" w:hAnsi="宋体" w:cs="宋体"/>
          <w:color w:val="000000" w:themeColor="text1"/>
          <w:sz w:val="21"/>
          <w:szCs w:val="21"/>
          <w:highlight w:val="none"/>
          <w:lang w:val="en-US"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应完全响应。</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四、检测机构要求</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20" w:firstLineChars="200"/>
        <w:jc w:val="left"/>
        <w:textAlignment w:val="auto"/>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1、比选申请人报价时提供本项目组人员情况安排表。</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20" w:firstLineChars="200"/>
        <w:jc w:val="left"/>
        <w:textAlignment w:val="auto"/>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2、比选申请人报价时提供拟投入主要人员组织构架、岗位职责、人员名单、人员履历表、技术职称、有效原始证件复印件、劳动合同复印件。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五、服务要求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1、职业健康危害因素检测符合职业健康管理体系以及职业病预防法律法规等要求，</w:t>
      </w:r>
      <w:r>
        <w:rPr>
          <w:rFonts w:hint="eastAsia" w:ascii="宋体" w:hAnsi="宋体" w:eastAsia="宋体" w:cs="宋体"/>
          <w:color w:val="000000" w:themeColor="text1"/>
          <w:sz w:val="21"/>
          <w:szCs w:val="21"/>
          <w:highlight w:val="none"/>
          <w:lang w:eastAsia="zh-CN"/>
          <w14:textFill>
            <w14:solidFill>
              <w14:schemeClr w14:val="tx1"/>
            </w14:solidFill>
          </w14:textFill>
        </w:rPr>
        <w:t>合同履行期间，所有的检测内容根据实际需要发生，由</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提供检测方案（须包含具体检测点位及数量等内容），报</w:t>
      </w:r>
      <w:r>
        <w:rPr>
          <w:rFonts w:hint="eastAsia" w:ascii="宋体" w:hAnsi="宋体" w:cs="宋体"/>
          <w:color w:val="000000" w:themeColor="text1"/>
          <w:sz w:val="21"/>
          <w:szCs w:val="21"/>
          <w:highlight w:val="none"/>
          <w:lang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eastAsia="zh-CN"/>
          <w14:textFill>
            <w14:solidFill>
              <w14:schemeClr w14:val="tx1"/>
            </w14:solidFill>
          </w14:textFill>
        </w:rPr>
        <w:t>确认后实施。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依据《中华人民共和国职业病防治法》、《作业场所职业健康监督管理暂行规定》、《用人单位职业病危害因素定期检测管理规范》等法律法规、检测标准及</w:t>
      </w:r>
      <w:r>
        <w:rPr>
          <w:rFonts w:hint="eastAsia" w:ascii="宋体" w:hAnsi="宋体" w:cs="宋体"/>
          <w:color w:val="000000" w:themeColor="text1"/>
          <w:sz w:val="21"/>
          <w:szCs w:val="21"/>
          <w:highlight w:val="none"/>
          <w:lang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eastAsia="zh-CN"/>
          <w14:textFill>
            <w14:solidFill>
              <w14:schemeClr w14:val="tx1"/>
            </w14:solidFill>
          </w14:textFill>
        </w:rPr>
        <w:t>制定的相关规程，完成此次检测技术服务并出具</w:t>
      </w:r>
      <w:r>
        <w:rPr>
          <w:rFonts w:hint="eastAsia" w:ascii="宋体" w:hAnsi="宋体" w:cs="宋体"/>
          <w:color w:val="000000" w:themeColor="text1"/>
          <w:sz w:val="21"/>
          <w:szCs w:val="21"/>
          <w:highlight w:val="none"/>
          <w:lang w:val="en-US" w:eastAsia="zh-CN"/>
          <w14:textFill>
            <w14:solidFill>
              <w14:schemeClr w14:val="tx1"/>
            </w14:solidFill>
          </w14:textFill>
        </w:rPr>
        <w:t>具有CMA认证的检测报告及检测分析报告</w:t>
      </w:r>
      <w:r>
        <w:rPr>
          <w:rFonts w:hint="eastAsia" w:ascii="宋体" w:hAnsi="宋体" w:eastAsia="宋体" w:cs="宋体"/>
          <w:color w:val="000000" w:themeColor="text1"/>
          <w:sz w:val="21"/>
          <w:szCs w:val="21"/>
          <w:highlight w:val="none"/>
          <w:lang w:eastAsia="zh-CN"/>
          <w14:textFill>
            <w14:solidFill>
              <w14:schemeClr w14:val="tx1"/>
            </w14:solidFill>
          </w14:textFill>
        </w:rPr>
        <w:t>，并将过程中发生的各种资料、文件按要求存档。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未经</w:t>
      </w:r>
      <w:r>
        <w:rPr>
          <w:rFonts w:hint="eastAsia" w:ascii="宋体" w:hAnsi="宋体" w:cs="宋体"/>
          <w:color w:val="000000" w:themeColor="text1"/>
          <w:sz w:val="21"/>
          <w:szCs w:val="21"/>
          <w:highlight w:val="none"/>
          <w:lang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eastAsia="zh-CN"/>
          <w14:textFill>
            <w14:solidFill>
              <w14:schemeClr w14:val="tx1"/>
            </w14:solidFill>
          </w14:textFill>
        </w:rPr>
        <w:t>书面同意，</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不得复制为</w:t>
      </w:r>
      <w:r>
        <w:rPr>
          <w:rFonts w:hint="eastAsia" w:ascii="宋体" w:hAnsi="宋体" w:cs="宋体"/>
          <w:color w:val="000000" w:themeColor="text1"/>
          <w:sz w:val="21"/>
          <w:szCs w:val="21"/>
          <w:highlight w:val="none"/>
          <w:lang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eastAsia="zh-CN"/>
          <w14:textFill>
            <w14:solidFill>
              <w14:schemeClr w14:val="tx1"/>
            </w14:solidFill>
          </w14:textFill>
        </w:rPr>
        <w:t>出具的《检测报告》，该检测报告不得作为</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投标、鉴定、评优、审批及商品宣传用。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应严格按照国家标准进行采样、检测，确保公正、客观、准确地进行检测工作，对检测的结果负责。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应无条件服从</w:t>
      </w:r>
      <w:r>
        <w:rPr>
          <w:rFonts w:hint="eastAsia" w:ascii="宋体" w:hAnsi="宋体" w:cs="宋体"/>
          <w:color w:val="000000" w:themeColor="text1"/>
          <w:sz w:val="21"/>
          <w:szCs w:val="21"/>
          <w:highlight w:val="none"/>
          <w:lang w:eastAsia="zh-CN"/>
          <w14:textFill>
            <w14:solidFill>
              <w14:schemeClr w14:val="tx1"/>
            </w14:solidFill>
          </w14:textFill>
        </w:rPr>
        <w:t>比选发起人</w:t>
      </w:r>
      <w:r>
        <w:rPr>
          <w:rFonts w:hint="eastAsia" w:ascii="宋体" w:hAnsi="宋体" w:eastAsia="宋体" w:cs="宋体"/>
          <w:color w:val="000000" w:themeColor="text1"/>
          <w:sz w:val="21"/>
          <w:szCs w:val="21"/>
          <w:highlight w:val="none"/>
          <w:lang w:eastAsia="zh-CN"/>
          <w14:textFill>
            <w14:solidFill>
              <w14:schemeClr w14:val="tx1"/>
            </w14:solidFill>
          </w14:textFill>
        </w:rPr>
        <w:t>安排完成工作。如遇到不可抗拒力导致</w:t>
      </w:r>
      <w:r>
        <w:rPr>
          <w:rFonts w:hint="eastAsia" w:ascii="宋体" w:hAnsi="宋体" w:cs="宋体"/>
          <w:color w:val="000000" w:themeColor="text1"/>
          <w:sz w:val="21"/>
          <w:szCs w:val="21"/>
          <w:highlight w:val="none"/>
          <w:lang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eastAsia="zh-CN"/>
          <w14:textFill>
            <w14:solidFill>
              <w14:schemeClr w14:val="tx1"/>
            </w14:solidFill>
          </w14:textFill>
        </w:rPr>
        <w:t>无法进行现场采（取）样的，现场采（取）样时间应另行约定。</w:t>
      </w:r>
    </w:p>
    <w:p>
      <w:pPr>
        <w:pStyle w:val="4"/>
        <w:rPr>
          <w:rFonts w:hint="default"/>
          <w:color w:val="000000" w:themeColor="text1"/>
          <w:highlight w:val="none"/>
          <w:lang w:val="en-US" w:eastAsia="zh-CN"/>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 xml:space="preserve">    6、每年</w:t>
      </w:r>
      <w:r>
        <w:rPr>
          <w:rFonts w:hint="eastAsia" w:ascii="宋体" w:hAnsi="宋体" w:eastAsia="宋体" w:cs="宋体"/>
          <w:color w:val="000000" w:themeColor="text1"/>
          <w:sz w:val="21"/>
          <w:szCs w:val="21"/>
          <w:highlight w:val="none"/>
          <w:lang w:val="en-US" w:eastAsia="zh-CN"/>
          <w14:textFill>
            <w14:solidFill>
              <w14:schemeClr w14:val="tx1"/>
            </w14:solidFill>
          </w14:textFill>
        </w:rPr>
        <w:t>检测工作结束后</w:t>
      </w:r>
      <w:r>
        <w:rPr>
          <w:rFonts w:hint="eastAsia" w:hAnsi="宋体" w:cs="宋体"/>
          <w:color w:val="000000" w:themeColor="text1"/>
          <w:sz w:val="21"/>
          <w:szCs w:val="21"/>
          <w:highlight w:val="none"/>
          <w:lang w:val="en-US" w:eastAsia="zh-CN"/>
          <w14:textFill>
            <w14:solidFill>
              <w14:schemeClr w14:val="tx1"/>
            </w14:solidFill>
          </w14:textFill>
        </w:rPr>
        <w:t>比选申请人</w:t>
      </w:r>
      <w:r>
        <w:rPr>
          <w:rFonts w:hint="eastAsia" w:ascii="宋体" w:hAnsi="宋体" w:eastAsia="宋体" w:cs="宋体"/>
          <w:color w:val="000000" w:themeColor="text1"/>
          <w:sz w:val="21"/>
          <w:szCs w:val="21"/>
          <w:highlight w:val="none"/>
          <w:lang w:val="en-US" w:eastAsia="zh-CN"/>
          <w14:textFill>
            <w14:solidFill>
              <w14:schemeClr w14:val="tx1"/>
            </w14:solidFill>
          </w14:textFill>
        </w:rPr>
        <w:t>15天内送交</w:t>
      </w:r>
      <w:r>
        <w:rPr>
          <w:rFonts w:hint="eastAsia" w:ascii="宋体" w:hAnsi="宋体" w:cs="宋体"/>
          <w:color w:val="000000" w:themeColor="text1"/>
          <w:sz w:val="21"/>
          <w:szCs w:val="21"/>
          <w:highlight w:val="none"/>
          <w:lang w:val="en-US" w:eastAsia="zh-CN"/>
          <w14:textFill>
            <w14:solidFill>
              <w14:schemeClr w14:val="tx1"/>
            </w14:solidFill>
          </w14:textFill>
        </w:rPr>
        <w:t>具有</w:t>
      </w:r>
      <w:r>
        <w:rPr>
          <w:rFonts w:hint="eastAsia" w:hAnsi="宋体" w:cs="宋体"/>
          <w:color w:val="000000" w:themeColor="text1"/>
          <w:sz w:val="21"/>
          <w:szCs w:val="21"/>
          <w:highlight w:val="none"/>
          <w:lang w:val="en-US" w:eastAsia="zh-CN"/>
          <w14:textFill>
            <w14:solidFill>
              <w14:schemeClr w14:val="tx1"/>
            </w14:solidFill>
          </w14:textFill>
        </w:rPr>
        <w:t>CMA认证的检测报告及检测分析报告</w:t>
      </w:r>
      <w:r>
        <w:rPr>
          <w:rFonts w:hint="eastAsia" w:ascii="宋体" w:hAnsi="宋体" w:cs="宋体"/>
          <w:color w:val="000000" w:themeColor="text1"/>
          <w:sz w:val="21"/>
          <w:szCs w:val="21"/>
          <w:highlight w:val="none"/>
          <w:lang w:val="en-US" w:eastAsia="zh-CN"/>
          <w14:textFill>
            <w14:solidFill>
              <w14:schemeClr w14:val="tx1"/>
            </w14:solidFill>
          </w14:textFill>
        </w:rPr>
        <w:t>一式五</w:t>
      </w:r>
      <w:r>
        <w:rPr>
          <w:rFonts w:hint="eastAsia" w:ascii="宋体" w:hAnsi="宋体" w:eastAsia="宋体" w:cs="宋体"/>
          <w:color w:val="000000" w:themeColor="text1"/>
          <w:sz w:val="21"/>
          <w:szCs w:val="21"/>
          <w:highlight w:val="none"/>
          <w:lang w:val="en-US" w:eastAsia="zh-CN"/>
          <w14:textFill>
            <w14:solidFill>
              <w14:schemeClr w14:val="tx1"/>
            </w14:solidFill>
          </w14:textFill>
        </w:rPr>
        <w:t>份</w:t>
      </w:r>
      <w:r>
        <w:rPr>
          <w:rFonts w:hint="eastAsia" w:hAnsi="宋体" w:cs="宋体"/>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六、其他</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20" w:firstLineChars="200"/>
        <w:jc w:val="left"/>
        <w:textAlignment w:val="auto"/>
        <w:outlineLvl w:val="9"/>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比选申请人须遵守比选发起人《外单位作业安全管理办法》相关规定，另行签订《外单位作业安全、消防、治安内保协议》。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七、项目</w:t>
      </w:r>
      <w:r>
        <w:rPr>
          <w:rFonts w:hint="eastAsia" w:ascii="宋体" w:hAnsi="宋体" w:cs="宋体"/>
          <w:b/>
          <w:bCs/>
          <w:color w:val="000000" w:themeColor="text1"/>
          <w:sz w:val="21"/>
          <w:szCs w:val="21"/>
          <w:highlight w:val="none"/>
          <w:lang w:val="en-US" w:eastAsia="zh-CN"/>
          <w14:textFill>
            <w14:solidFill>
              <w14:schemeClr w14:val="tx1"/>
            </w14:solidFill>
          </w14:textFill>
        </w:rPr>
        <w:t>清单</w:t>
      </w:r>
    </w:p>
    <w:tbl>
      <w:tblPr>
        <w:tblStyle w:val="5"/>
        <w:tblW w:w="10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81"/>
        <w:gridCol w:w="1573"/>
        <w:gridCol w:w="2901"/>
        <w:gridCol w:w="3060"/>
        <w:gridCol w:w="525"/>
        <w:gridCol w:w="600"/>
        <w:gridCol w:w="585"/>
        <w:gridCol w:w="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10500" w:type="dxa"/>
            <w:gridSpan w:val="8"/>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职业健康检测点位分布统计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序号</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检测地点</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检测岗位</w:t>
            </w:r>
          </w:p>
        </w:tc>
        <w:tc>
          <w:tcPr>
            <w:tcW w:w="3060"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检测项目</w:t>
            </w:r>
          </w:p>
        </w:tc>
        <w:tc>
          <w:tcPr>
            <w:tcW w:w="2285" w:type="dxa"/>
            <w:gridSpan w:val="4"/>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525"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2021</w:t>
            </w:r>
          </w:p>
        </w:tc>
        <w:tc>
          <w:tcPr>
            <w:tcW w:w="600"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2022</w:t>
            </w:r>
          </w:p>
        </w:tc>
        <w:tc>
          <w:tcPr>
            <w:tcW w:w="585"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2023</w:t>
            </w:r>
          </w:p>
        </w:tc>
        <w:tc>
          <w:tcPr>
            <w:tcW w:w="575"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bottom"/>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0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天童庄车辆段架大修车间</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（拆装作业）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31"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（除漆清洗作业）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4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6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（轮对脱轨补漆作业）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苯、甲苯、二甲苯、乙酸甲酯、乙酸乙酯、乙酸丁酯、异丙醇、正己烷、环己烷、MDI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62"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  （个体）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1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（超声波探伤作业）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9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0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（磁粉探伤作业）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紫外辐射（定点）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9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（涡流探伤作业）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电流辐射（定点）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0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（落轮镟作业）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3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（轮对跑合作业）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9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1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（部件打磨作业）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噪声、电焊烟尘、锰及其化合物、臭氧、氮氧化物、电焊弧光</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7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噪声、粉尘、锰及其化合物</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（吹扫作业）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3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天童庄车辆段运用库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（列车检修作业）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苯、甲苯、二甲苯、乙酸甲酯、乙酸乙酯、乙酸丁酯、异丙醇、正己烷、环己烷、MDI（定点）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39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 （个体）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21</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天童庄车辆段工程车库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柴油尾气（一氧化碳、二氧化碳、一氧化氮、二氧化氮、二氧化硫）噪声、高温（定点）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1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天童庄车辆段镟轮库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（不落轮镟作业）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（空压机房检修作业）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9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（蓄电池充放电间检修作业）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KOH、NaOH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运维支持员（DCC）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调度员（DCC）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9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38</w:t>
            </w:r>
          </w:p>
        </w:tc>
        <w:tc>
          <w:tcPr>
            <w:tcW w:w="15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天童庄车辆段跟随变电所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黄隘车辆段运用库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电客车维修员（列车检修作业）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苯、甲苯、二甲苯、乙酸甲酯、乙酸乙酯、乙酸丁酯、异丙醇、正己烷、环己烷、MDI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  （个体）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41</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黄隘车辆段工程车库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工程车维修员（工程车作业）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柴油尾气（一氧化碳、二氧化碳、一氧化氮、二氧化氮、二氧化硫）噪声、高温（定点）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黄隘车辆段镟轮库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设备维修员（不落轮镟作业）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45</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黄隘车辆段</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设备维修员（空压机房检修作业）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电客车维修员（蓄电池充放电间检修作业）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KOH、NaOH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运维支持员（DCC）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调度员（DCC）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黄隘车辆段牵引降压混合变电所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58</w:t>
            </w:r>
          </w:p>
        </w:tc>
        <w:tc>
          <w:tcPr>
            <w:tcW w:w="15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黄隘车辆段跟随变电所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首南车辆段运用库运用库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（列车检修作业）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苯、甲苯、二甲苯、乙酸甲酯、乙酸乙酯、乙酸丁酯、异丙醇、正己烷、环己烷、MDI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  （个体）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61</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首南车辆段运用库工程车库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柴油尾气（一氧化碳、二氧化碳、一氧化氮、二氧化氮、二氧化硫）噪声、高温（定点）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首南车辆段运用库镟轮库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（不落轮镟作业）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7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65</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首南车辆段</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（空压机房检修作业）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（蓄电池充放电间检修作业）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KOH、NaOH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运维支持员（DCC）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调度员（DCC）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首南车辆段运用库牵引降压混合变电所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78</w:t>
            </w:r>
          </w:p>
        </w:tc>
        <w:tc>
          <w:tcPr>
            <w:tcW w:w="15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首南车辆段跟随变电所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79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东钱湖车辆段运用库运用库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电客车维修员（列车检修作业）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苯、甲苯、二甲苯、乙酸甲酯、乙酸乙酯、乙酸丁酯、异丙醇、正己烷、环己烷、MDI（定点）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1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81</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东钱湖车辆段运用库工程车库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工程车维修员（工程车作业）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柴油尾气（一氧化碳、二氧化碳、一氧化氮、二氧化氮、二氧化硫）噪声、高温（定点）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58"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东钱湖车辆段运用库镟轮库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（不落轮镟作业）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37"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18"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85</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东钱湖车辆段</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（空压机房检修作业）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6"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07"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（蓄电池充放电间检修作业）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KOH、NaOH（定点）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运维支持员（DCC）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调度员（DCC）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东钱湖车辆段运用库牵引降压混合变电所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9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98</w:t>
            </w:r>
          </w:p>
        </w:tc>
        <w:tc>
          <w:tcPr>
            <w:tcW w:w="15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东钱湖车辆段跟随变电所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经堂庵跟车辆段运用库运用库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（列车检修作业）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苯、甲苯、二甲苯、乙酸甲酯、乙酸乙酯、乙酸丁酯、异丙醇、正己烷、环己烷、MDI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苯、甲苯、二甲苯、乙酸甲酯、乙酸乙酯、乙酸丁酯、异丙醇、正己烷、环己烷  （个体）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101</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经堂庵跟车辆段运用库工程车库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（工程车作业）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柴油尾气（一氧化碳、二氧化碳、一氧化氮、二氧化氮、二氧化硫）噪声、高温（定点）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经堂庵跟车辆段运用库镟轮库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（不落轮镟作业）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7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105</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经堂庵跟车辆段</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（空压机房检修作业）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电客车维修员（蓄电池充放电间检修作业）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KOH、NaOH （定点）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运维支持员（DCC）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调度员（DCC）</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经堂庵跟车辆段运用库牵引降压混合变电所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9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118</w:t>
            </w:r>
          </w:p>
        </w:tc>
        <w:tc>
          <w:tcPr>
            <w:tcW w:w="15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经堂庵跟车辆段跟随变电所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119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江南停车场洗车库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设备维修员（检修动调作业）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电客车维修员（洗车作业）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江南停车场牵引降压混合变电所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朱塘村停车场洗车库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设备维修员（检修动调作业）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电客车维修员（洗车作业）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朱塘村停车场牵引降压混合变电所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139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东外环停车场洗车库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设备维修员（检修动调作业）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电客车维修员（洗车作业）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东外环停车场牵引降压混合变电所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奉化停车场洗车库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设备维修员（检修动调作业）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电客车维修员（洗车作业）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奉化停车场牵引降压混合变电所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159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慈城停车场洗车库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设备维修员（检修动调作业）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电客车维修员（洗车作业）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慈城停车场牵引降压混合变电所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169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前殷停车场洗车库</w:t>
            </w: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设备维修员（检修动调作业）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电客车维修员（洗车作业）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前殷停车场牵引降压混合变电所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变电维护员（整流变压器室检修作业）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变电维护员（1500V开关柜室检修作业）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变电维护员（400V开关柜室检修作业）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变电维护员（控制室检修作业）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变电维护员（巡检作业）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0</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179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车站</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站务员（站厅）</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站务员(站台)</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站务员（车站控制室）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轨道公安（警务室）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183</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客运值班员（票务室）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AFC维护员（AFC设备室）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环电维护员（环控机房）</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环电维护员（集中供冷站）</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环电维护员（环控电控室）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环电维护员（照明配电室）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189</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环电维护员(污水泵房)</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氨气、硫化氢（定点）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自动化维护员（综合监控设备室）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自动化维护员（站台门设备室）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变电维护员（降压变电所）</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193</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变电维护员（牵引降压混合变电所）</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4"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变电维护员（跟随变电所）</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通信维护员（通信设备室）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信号维护员（信号设备室）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通信、信号维护员（通信、信号电源室）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198</w:t>
            </w:r>
          </w:p>
        </w:tc>
        <w:tc>
          <w:tcPr>
            <w:tcW w:w="15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列车</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电客车司机（列车驾驶室）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10</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199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轨行区</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轨道维护员（钢轨打磨作业）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接触网维护员（绝缘子清扫作业）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接触网维护员（绝缘子清扫作业）</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噪声、粉尘（个体）</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5</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203</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樱花、望春、岩河、双桥、三官堂、蒋家、谢家、甬兴主变电所</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变电维护员（主变压器室）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204</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变电维护员（35KV开关柜室）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205</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变电维护员（SVG室）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206</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变电维护员（110KV GIS室）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207</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变电维护员（蓄电池室）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208</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变电维护员（主控室）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25"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209</w:t>
            </w:r>
          </w:p>
        </w:tc>
        <w:tc>
          <w:tcPr>
            <w:tcW w:w="157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OCC控制中心</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调度员（调度大厅）</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4</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210</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信号维护员（信号设备、电源室）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211</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通信维护员（通信设备室）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212</w:t>
            </w:r>
          </w:p>
        </w:tc>
        <w:tc>
          <w:tcPr>
            <w:tcW w:w="1573"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14:textFill>
                  <w14:solidFill>
                    <w14:schemeClr w14:val="tx1"/>
                  </w14:solidFill>
                </w14:textFill>
              </w:rPr>
            </w:pP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自动化维护员（综合监控设备室）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噪声、工频电场（定点）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1</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0" w:hRule="atLeast"/>
          <w:jc w:val="center"/>
        </w:trPr>
        <w:tc>
          <w:tcPr>
            <w:tcW w:w="68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213</w:t>
            </w:r>
          </w:p>
        </w:tc>
        <w:tc>
          <w:tcPr>
            <w:tcW w:w="1573"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i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color w:val="000000" w:themeColor="text1"/>
                <w:sz w:val="21"/>
                <w:szCs w:val="21"/>
                <w:highlight w:val="none"/>
                <w:u w:val="none"/>
                <w:lang w:val="en-US" w:eastAsia="zh-CN"/>
                <w14:textFill>
                  <w14:solidFill>
                    <w14:schemeClr w14:val="tx1"/>
                  </w14:solidFill>
                </w14:textFill>
              </w:rPr>
              <w:t>票务中心清洗室</w:t>
            </w:r>
          </w:p>
        </w:tc>
        <w:tc>
          <w:tcPr>
            <w:tcW w:w="290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票卡员（票卡清洗室）</w:t>
            </w:r>
          </w:p>
        </w:tc>
        <w:tc>
          <w:tcPr>
            <w:tcW w:w="30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噪声（定点）</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3</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5" w:hRule="atLeast"/>
          <w:jc w:val="center"/>
        </w:trPr>
        <w:tc>
          <w:tcPr>
            <w:tcW w:w="8215" w:type="dxa"/>
            <w:gridSpan w:val="4"/>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合计</w:t>
            </w:r>
          </w:p>
        </w:tc>
        <w:tc>
          <w:tcPr>
            <w:tcW w:w="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648</w:t>
            </w:r>
          </w:p>
        </w:tc>
        <w:tc>
          <w:tcPr>
            <w:tcW w:w="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840</w:t>
            </w:r>
          </w:p>
        </w:tc>
        <w:tc>
          <w:tcPr>
            <w:tcW w:w="5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840</w:t>
            </w:r>
          </w:p>
        </w:tc>
        <w:tc>
          <w:tcPr>
            <w:tcW w:w="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color w:val="000000" w:themeColor="text1"/>
                <w:sz w:val="21"/>
                <w:szCs w:val="21"/>
                <w:highlight w:val="none"/>
                <w:u w:val="none"/>
                <w14:textFill>
                  <w14:solidFill>
                    <w14:schemeClr w14:val="tx1"/>
                  </w14:solidFill>
                </w14:textFill>
              </w:rPr>
            </w:pPr>
            <w:r>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t>2328</w:t>
            </w:r>
          </w:p>
        </w:tc>
      </w:tr>
    </w:tbl>
    <w:p>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注：所有的检测点</w:t>
      </w:r>
      <w:r>
        <w:rPr>
          <w:rFonts w:hint="eastAsia" w:ascii="宋体" w:hAnsi="宋体" w:eastAsia="宋体" w:cs="宋体"/>
          <w:snapToGrid w:val="0"/>
          <w:color w:val="000000" w:themeColor="text1"/>
          <w:spacing w:val="-4"/>
          <w:kern w:val="0"/>
          <w:sz w:val="21"/>
          <w:szCs w:val="21"/>
          <w:highlight w:val="none"/>
          <w:lang w:eastAsia="zh-CN"/>
          <w14:textFill>
            <w14:solidFill>
              <w14:schemeClr w14:val="tx1"/>
            </w14:solidFill>
          </w14:textFill>
        </w:rPr>
        <w:t>只是初步估算，</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比选申请人</w:t>
      </w:r>
      <w:r>
        <w:rPr>
          <w:rFonts w:hint="eastAsia" w:ascii="宋体" w:hAnsi="宋体" w:eastAsia="宋体" w:cs="宋体"/>
          <w:snapToGrid w:val="0"/>
          <w:color w:val="000000" w:themeColor="text1"/>
          <w:spacing w:val="-4"/>
          <w:kern w:val="0"/>
          <w:sz w:val="21"/>
          <w:szCs w:val="21"/>
          <w:highlight w:val="none"/>
          <w:lang w:eastAsia="zh-CN"/>
          <w14:textFill>
            <w14:solidFill>
              <w14:schemeClr w14:val="tx1"/>
            </w14:solidFill>
          </w14:textFill>
        </w:rPr>
        <w:t>应</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按法律法规及相关检测规范布点，据实结算。如实际检测点位和检测区域超过本</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比选文件</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规定，以</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比选申请人</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和</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比选发起人</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相关业务部门共同确定认可的数量实施，</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比选申请人</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将按照点位综合单价不变的原则据实结算</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；若</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实际检测点位和检测区域</w:t>
      </w:r>
      <w:r>
        <w:rPr>
          <w:rFonts w:hint="eastAsia" w:hAnsi="宋体" w:cs="宋体"/>
          <w:snapToGrid w:val="0"/>
          <w:color w:val="000000" w:themeColor="text1"/>
          <w:spacing w:val="-4"/>
          <w:kern w:val="0"/>
          <w:sz w:val="21"/>
          <w:szCs w:val="21"/>
          <w:highlight w:val="none"/>
          <w:lang w:eastAsia="zh-CN"/>
          <w14:textFill>
            <w14:solidFill>
              <w14:schemeClr w14:val="tx1"/>
            </w14:solidFill>
          </w14:textFill>
        </w:rPr>
        <w:t>小于本比选文件规定，比选申请人不得有异议</w:t>
      </w:r>
      <w:r>
        <w:rPr>
          <w:rFonts w:hint="eastAsia" w:ascii="宋体" w:hAnsi="宋体" w:eastAsia="宋体" w:cs="宋体"/>
          <w:snapToGrid w:val="0"/>
          <w:color w:val="000000" w:themeColor="text1"/>
          <w:spacing w:val="-4"/>
          <w:kern w:val="0"/>
          <w:sz w:val="21"/>
          <w:szCs w:val="21"/>
          <w:highlight w:val="none"/>
          <w14:textFill>
            <w14:solidFill>
              <w14:schemeClr w14:val="tx1"/>
            </w14:solidFill>
          </w14:textFill>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8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仿宋" w:hAnsi="仿宋" w:eastAsia="仿宋" w:cstheme="minorBidi"/>
      <w:color w:val="000000"/>
      <w:sz w:val="24"/>
      <w:lang w:val="en-US" w:eastAsia="zh-CN" w:bidi="ar-SA"/>
    </w:rPr>
  </w:style>
  <w:style w:type="paragraph" w:styleId="4">
    <w:name w:val="Plain Text"/>
    <w:basedOn w:val="1"/>
    <w:qFormat/>
    <w:uiPriority w:val="99"/>
    <w:pPr>
      <w:spacing w:line="240" w:lineRule="auto"/>
    </w:pPr>
    <w:rPr>
      <w:rFonts w:ascii="宋体" w:hAnsi="Courier New"/>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2021-08-11T06:43:09Z</dcterms:created>
  <dc:creator>Administrator</dc:creator>
  <cp:lastModifiedBy>Wade</cp:lastModifiedBy>
  <dcterms:modified xsi:type="dcterms:W3CDTF">2021-08-11T06:43:24Z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FCBFD2510DF94634B4E887083C80EFD6</vt:lpwstr>
  </property>
</Properties>
</file>