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0" w:after="120"/>
        <w:jc w:val="center"/>
        <w:rPr>
          <w:rFonts w:hint="eastAsia" w:eastAsia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用户需求书</w:t>
      </w:r>
    </w:p>
    <w:p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一、项目概述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宁波市轨道交通2号线二期首通段及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鄞奉段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后通段各车站、主变电所均设置化粪池、污水井及污水管道，根据设计规范及实际使用情况，必须每年对化粪池进行2次抽排作业、每年对污水井及污水管道进行1次疏通清淤作业。化粪池抽排、污水井及污水管道疏通清淤需抽粪车、高压管道清洗车等大型机具，且化粪池抽排作业完成后粪渣需有相关资质的单位进行处理。</w:t>
      </w:r>
    </w:p>
    <w:p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规范和标准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1.化粪池抽排完成后应做到三通二无一净，即进、出口通，排水管道通，无块状粪渣，无沉积物，清淘作业场地干净，一级池清运 90%，二级池清运 75%。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2.污水井及管道疏通清淤完成后井及管道内部无杂物，井内无淤泥，排水畅通。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工作量确认：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各站点作业完成后填写作业单，</w:t>
      </w:r>
      <w:r>
        <w:rPr>
          <w:rFonts w:hint="eastAsia" w:ascii="宋体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比选申请人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作业负责人、</w:t>
      </w:r>
      <w:r>
        <w:rPr>
          <w:rFonts w:hint="eastAsia" w:ascii="宋体" w:hAnsi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比选发起人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作业负责人必须在作业单签字。</w:t>
      </w:r>
    </w:p>
    <w:p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三、</w:t>
      </w:r>
      <w:r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服务清单和工作量</w:t>
      </w:r>
    </w:p>
    <w:tbl>
      <w:tblPr>
        <w:tblStyle w:val="4"/>
        <w:tblW w:w="8817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2"/>
        <w:gridCol w:w="1133"/>
        <w:gridCol w:w="1225"/>
        <w:gridCol w:w="1225"/>
        <w:gridCol w:w="1199"/>
        <w:gridCol w:w="27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</w:trPr>
        <w:tc>
          <w:tcPr>
            <w:tcW w:w="13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线路</w:t>
            </w:r>
          </w:p>
        </w:tc>
        <w:tc>
          <w:tcPr>
            <w:tcW w:w="11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车站数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化粪池（个）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污水管（米）</w:t>
            </w:r>
          </w:p>
        </w:tc>
        <w:tc>
          <w:tcPr>
            <w:tcW w:w="11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污水井（个）</w:t>
            </w:r>
          </w:p>
        </w:tc>
        <w:tc>
          <w:tcPr>
            <w:tcW w:w="27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服务内容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130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2号线二期</w:t>
            </w:r>
          </w:p>
        </w:tc>
        <w:tc>
          <w:tcPr>
            <w:tcW w:w="113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个车站</w:t>
            </w:r>
          </w:p>
        </w:tc>
        <w:tc>
          <w:tcPr>
            <w:tcW w:w="122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22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462</w:t>
            </w:r>
          </w:p>
        </w:tc>
        <w:tc>
          <w:tcPr>
            <w:tcW w:w="119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27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化粪池抽吸压缩分离每年二次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30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管道疏通每年一次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30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污水井清理每年一次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130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鄞奉段后通段</w:t>
            </w:r>
          </w:p>
        </w:tc>
        <w:tc>
          <w:tcPr>
            <w:tcW w:w="113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个车站、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个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主变电所</w:t>
            </w:r>
          </w:p>
        </w:tc>
        <w:tc>
          <w:tcPr>
            <w:tcW w:w="122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22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745</w:t>
            </w:r>
          </w:p>
        </w:tc>
        <w:tc>
          <w:tcPr>
            <w:tcW w:w="119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52</w:t>
            </w:r>
          </w:p>
        </w:tc>
        <w:tc>
          <w:tcPr>
            <w:tcW w:w="27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化粪池抽吸压缩分离每年二次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30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管道疏通每年一次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30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污水井清理每年一次</w:t>
            </w:r>
          </w:p>
        </w:tc>
      </w:tr>
    </w:tbl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color w:val="000000" w:themeColor="text1"/>
          <w:sz w:val="21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color w:val="000000" w:themeColor="text1"/>
          <w:kern w:val="0"/>
          <w:sz w:val="21"/>
          <w:szCs w:val="21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注：化粪池为4号化粪池，尺寸为：4.8m*1.9m*2.4m，管道距离为检查井中心与检查井中心之间距离。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6D4A54"/>
    <w:rsid w:val="507D7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widowControl/>
      <w:spacing w:before="340" w:after="330" w:line="578" w:lineRule="atLeast"/>
      <w:jc w:val="left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仿宋" w:hAnsi="仿宋" w:eastAsia="仿宋" w:cstheme="minorBidi"/>
      <w:color w:val="000000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2021-08-23T01:48:00Z</dcterms:created>
  <dc:creator>Administrator</dc:creator>
  <cp:lastModifiedBy>lenovo</cp:lastModifiedBy>
  <dcterms:modified xsi:type="dcterms:W3CDTF">2021-08-23T02:05:11Z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  <property fmtid="{D5CDD505-2E9C-101B-9397-08002B2CF9AE}" pid="3" name="ICV">
    <vt:lpwstr>FBD7407B22BD4C3EAFB5BFF8BBB33E2B</vt:lpwstr>
  </property>
</Properties>
</file>