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120"/>
        <w:jc w:val="center"/>
        <w:rPr>
          <w:sz w:val="32"/>
          <w:szCs w:val="32"/>
        </w:rPr>
      </w:pPr>
      <w:bookmarkStart w:id="0" w:name="_Toc64728502"/>
      <w:bookmarkStart w:id="1" w:name="_Toc80868193"/>
      <w:r>
        <w:rPr>
          <w:rFonts w:hint="eastAsia"/>
          <w:sz w:val="32"/>
          <w:szCs w:val="32"/>
        </w:rPr>
        <w:t xml:space="preserve"> 技术要求及数量表</w:t>
      </w:r>
      <w:bookmarkEnd w:id="0"/>
      <w:bookmarkEnd w:id="1"/>
      <w:bookmarkStart w:id="2" w:name="_GoBack"/>
      <w:bookmarkEnd w:id="2"/>
    </w:p>
    <w:p>
      <w:pPr>
        <w:rPr>
          <w:rFonts w:asciiTheme="minorEastAsia" w:hAnsiTheme="minorEastAsia" w:eastAsiaTheme="minorEastAsia"/>
          <w:b/>
        </w:rPr>
      </w:pPr>
      <w:r>
        <w:rPr>
          <w:rFonts w:hint="eastAsia" w:asciiTheme="minorEastAsia" w:hAnsiTheme="minorEastAsia" w:eastAsiaTheme="minorEastAsia"/>
          <w:b/>
        </w:rPr>
        <w:t>1.货物清单及技术要求</w:t>
      </w:r>
    </w:p>
    <w:tbl>
      <w:tblPr>
        <w:tblStyle w:val="4"/>
        <w:tblW w:w="139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1275"/>
        <w:gridCol w:w="7223"/>
        <w:gridCol w:w="993"/>
        <w:gridCol w:w="1401"/>
        <w:gridCol w:w="1165"/>
        <w:gridCol w:w="8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tblHeader/>
          <w:jc w:val="center"/>
        </w:trPr>
        <w:tc>
          <w:tcPr>
            <w:tcW w:w="985" w:type="dxa"/>
            <w:vMerge w:val="restart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  <w:t>序号</w:t>
            </w:r>
          </w:p>
        </w:tc>
        <w:tc>
          <w:tcPr>
            <w:tcW w:w="1275" w:type="dxa"/>
            <w:vMerge w:val="restart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  <w:t>物资名称</w:t>
            </w:r>
          </w:p>
        </w:tc>
        <w:tc>
          <w:tcPr>
            <w:tcW w:w="7223" w:type="dxa"/>
            <w:vMerge w:val="restart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参考规格、技术参数及要求</w:t>
            </w: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  <w:t>单位</w:t>
            </w:r>
          </w:p>
        </w:tc>
        <w:tc>
          <w:tcPr>
            <w:tcW w:w="1401" w:type="dxa"/>
            <w:vMerge w:val="restart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  <w:t>参考或相当于如下品牌</w:t>
            </w:r>
          </w:p>
        </w:tc>
        <w:tc>
          <w:tcPr>
            <w:tcW w:w="1165" w:type="dxa"/>
            <w:vMerge w:val="restart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  <w:t>预估数量</w:t>
            </w:r>
          </w:p>
        </w:tc>
        <w:tc>
          <w:tcPr>
            <w:tcW w:w="899" w:type="dxa"/>
            <w:vMerge w:val="restart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tblHeader/>
          <w:jc w:val="center"/>
        </w:trPr>
        <w:tc>
          <w:tcPr>
            <w:tcW w:w="985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275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7223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left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993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401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65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899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85" w:type="dxa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  <w:t>1</w:t>
            </w:r>
          </w:p>
        </w:tc>
        <w:tc>
          <w:tcPr>
            <w:tcW w:w="1275" w:type="dxa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普通纱窗</w:t>
            </w:r>
          </w:p>
        </w:tc>
        <w:tc>
          <w:tcPr>
            <w:tcW w:w="7223" w:type="dxa"/>
            <w:shd w:val="clear" w:color="auto" w:fill="FFFFFF"/>
            <w:vAlign w:val="center"/>
          </w:tcPr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21"/>
                <w:szCs w:val="21"/>
              </w:rPr>
              <w:t>纱网：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1、采用常规尼龙材料，经过低压平织而成。具有轻盈，防风，抗腐蚀等性能。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2、孔径：网布的开孔率达到85%，网布孔径尺寸：18*16目。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21"/>
                <w:szCs w:val="21"/>
              </w:rPr>
              <w:t>纱直径：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经线0.25mm，横线0.25mm。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21"/>
                <w:szCs w:val="21"/>
              </w:rPr>
              <w:t>纱窗铝材及表面处理：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1、纱窗外框为铝合金（6063—T5）有SGS检测铝材6063-T5报告，所有部位的铝材厚度≥1.0mm。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2、材料表面处理为无铅粉末喷涂处理，需达到国家环保要求。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21"/>
                <w:szCs w:val="21"/>
              </w:rPr>
              <w:t>配件：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纱窗配件为塑料配件，塑料材质为尼龙/ABS新料。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21"/>
                <w:szCs w:val="21"/>
              </w:rPr>
              <w:t>纱窗整体性能要求：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具备防蚊加防护的功能，使用方法简易,安装简易，免打孔，不破坏原有窗体，纱窗经久耐用，适合推拉窗窗型，具有可拆洗，防蚊一体的功能性纱窗。</w:t>
            </w:r>
          </w:p>
        </w:tc>
        <w:tc>
          <w:tcPr>
            <w:tcW w:w="993" w:type="dxa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平方米</w:t>
            </w:r>
          </w:p>
        </w:tc>
        <w:tc>
          <w:tcPr>
            <w:tcW w:w="1401" w:type="dxa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纱网品牌：钜峰、特耐利德、冠豪、百吉瑞</w:t>
            </w:r>
          </w:p>
        </w:tc>
        <w:tc>
          <w:tcPr>
            <w:tcW w:w="1165" w:type="dxa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500</w:t>
            </w:r>
          </w:p>
        </w:tc>
        <w:tc>
          <w:tcPr>
            <w:tcW w:w="899" w:type="dxa"/>
            <w:shd w:val="clear" w:color="auto" w:fill="FFFFFF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85" w:type="dxa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  <w:t>2</w:t>
            </w:r>
          </w:p>
        </w:tc>
        <w:tc>
          <w:tcPr>
            <w:tcW w:w="1275" w:type="dxa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隐形纱窗</w:t>
            </w:r>
          </w:p>
        </w:tc>
        <w:tc>
          <w:tcPr>
            <w:tcW w:w="7223" w:type="dxa"/>
            <w:shd w:val="clear" w:color="auto" w:fill="FFFFFF"/>
            <w:vAlign w:val="center"/>
          </w:tcPr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21"/>
                <w:szCs w:val="21"/>
              </w:rPr>
              <w:t>纱网：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1、采用无机纤维阻燃透视网布，耐150℃的高温，具有绝缘，绝热，隔音，耐老化等性能。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2、孔径：网布的开孔率达到80%，孔径尺寸：18*18目。纱直径：经线0.28mm，横线0.28mm。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3、SGS纱网检测报告：（1）纱网的REACH环保检测报告；（2）纱网的紫外线老化测试报告（其中ISO4892-3：2013、UVA-340需满足测试等级为4-5级）；（3）纱网的拉伸强度测试报告；（4）纱网的阻燃测试B3等级报告。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21"/>
                <w:szCs w:val="21"/>
              </w:rPr>
              <w:t>纱窗铝材及表面处理：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1、纱窗外框为铝合金（6063—T5），有SGS检测铝材6063-T5报告，所有部位的铝材厚度≥1.0mm。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 xml:space="preserve">2、材料表面处理为无铅粉末喷涂处理，需达到国家环保要求，内部卷管铝材表面处理为：阳极氧化。 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21"/>
                <w:szCs w:val="21"/>
              </w:rPr>
              <w:t>配件：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1、纱窗配件为塑料材质为ABS，PP，PE及尼龙新料。提供SGS材质检测报告。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2、碳素弹簧钢丝表面需镀锌处理。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3、边缘防风材质为:改性透明PVC。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4、配件中的轴承为不锈钢材质。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5、配件与铝材固定用同色螺丝，以显示一体性。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21"/>
                <w:szCs w:val="21"/>
              </w:rPr>
              <w:t>纱窗整体性能要求：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1、纱窗具有可拆洗功能，纱网卷筒部分与框体可分离/拼装。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2、双拉杆组合设计：由两个拉杆组成，随拉随停功能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3、内置毛刷清洁系统，可以将纱网表面都可以得到清洁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4、旋转微调节系统：可调节纱窗开关松紧度，更加轻松方便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5、抗风装置，需用透明新料PE片与纱网双线缝制</w:t>
            </w:r>
          </w:p>
        </w:tc>
        <w:tc>
          <w:tcPr>
            <w:tcW w:w="993" w:type="dxa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米</w:t>
            </w:r>
          </w:p>
        </w:tc>
        <w:tc>
          <w:tcPr>
            <w:tcW w:w="1401" w:type="dxa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纱网品牌：钜峰、特耐利德、冠豪、百吉瑞</w:t>
            </w:r>
          </w:p>
        </w:tc>
        <w:tc>
          <w:tcPr>
            <w:tcW w:w="1165" w:type="dxa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900</w:t>
            </w:r>
          </w:p>
        </w:tc>
        <w:tc>
          <w:tcPr>
            <w:tcW w:w="899" w:type="dxa"/>
            <w:shd w:val="clear" w:color="auto" w:fill="FFFFFF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85" w:type="dxa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  <w:t>3</w:t>
            </w:r>
          </w:p>
        </w:tc>
        <w:tc>
          <w:tcPr>
            <w:tcW w:w="1275" w:type="dxa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手动遮光卷帘</w:t>
            </w:r>
          </w:p>
        </w:tc>
        <w:tc>
          <w:tcPr>
            <w:tcW w:w="7223" w:type="dxa"/>
            <w:shd w:val="clear" w:color="auto" w:fill="FFFFFF"/>
            <w:vAlign w:val="center"/>
          </w:tcPr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21"/>
                <w:szCs w:val="21"/>
              </w:rPr>
              <w:t>面料：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1、基本材质:100%玻璃纤维基布，泡面背衬。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2、开孔率:0%。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3、克重:400g／㎡±5%。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4、厚度:0.35mm±5%。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5、紫外线遮光率：100%。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6、燃烧性能：氧指数≧32，国标B1级。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7、处理工艺：卷布全面展开，面料下垂长度须与窗台板平齐；此时卷管上卷布要留有1.5圈。面料工艺：面料采用冷刀裁切，保证面料无毛边。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21"/>
                <w:szCs w:val="21"/>
              </w:rPr>
              <w:t>卷管：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1.抗拉伸强度≥240RM/MPa,规定非比例延伸强度≥220Rp0.2/MPa,断后延伸率≤13.5﹪。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2.重金属含量符合欧盟新R0HS指令011/65/EU。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3.高强度铝合金材质，直径≥38mm，管材壁厚≥1.2mm，，保证在4M范围内不产生弯曲变形，铝合金顶管均经过阳极化处理，表面光洁、抗腐蚀性能强。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21"/>
                <w:szCs w:val="21"/>
              </w:rPr>
              <w:t>下梁：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1、水滴形下梁，底杆必须达到一定的重量，材质：6063-T5优质铝合金可加配重，无任何金属含量超标，达到国家标准。面料插入低杆中，保证永不脱落，外表美观。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21"/>
                <w:szCs w:val="21"/>
              </w:rPr>
              <w:t>制头：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1、采用进口耐用加固聚合物（PBT）材质+30%PC +2.0mm厚镀锌钢板表面亚光处理制成，它防锈，耐磨、耐腐蚀，经久耐用，既轻又可靠。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2、采用行星状排布齿轮系统进行中间传动，确保卷帘拉动轻便，手感顺滑，并能停止在任何位置，可承载35kg以上的重量，保证窗帘收放自如。</w:t>
            </w:r>
          </w:p>
          <w:p>
            <w:pPr>
              <w:spacing w:line="400" w:lineRule="exact"/>
              <w:jc w:val="left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3、拉珠采用循环拉珠配套，拉珠表面珠光喷涂，传动比例2:1，比同类产品省力50%，配38型6根加强筋以上卷管。</w:t>
            </w:r>
          </w:p>
        </w:tc>
        <w:tc>
          <w:tcPr>
            <w:tcW w:w="993" w:type="dxa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平方米</w:t>
            </w:r>
          </w:p>
        </w:tc>
        <w:tc>
          <w:tcPr>
            <w:tcW w:w="1401" w:type="dxa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面料品牌：先锋、西大门、裕鑫</w:t>
            </w:r>
          </w:p>
        </w:tc>
        <w:tc>
          <w:tcPr>
            <w:tcW w:w="1165" w:type="dxa"/>
            <w:shd w:val="clear" w:color="auto" w:fill="FFFFFF"/>
            <w:vAlign w:val="center"/>
          </w:tcPr>
          <w:p>
            <w:pPr>
              <w:spacing w:line="400" w:lineRule="exact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3500</w:t>
            </w:r>
          </w:p>
        </w:tc>
        <w:tc>
          <w:tcPr>
            <w:tcW w:w="899" w:type="dxa"/>
            <w:shd w:val="clear" w:color="auto" w:fill="FFFFFF"/>
          </w:tcPr>
          <w:p>
            <w:pPr>
              <w:widowControl/>
              <w:spacing w:line="40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</w:tbl>
    <w:p>
      <w:pPr>
        <w:rPr>
          <w:rFonts w:asciiTheme="minorEastAsia" w:hAnsiTheme="minorEastAsia" w:eastAsiaTheme="minorEastAsia"/>
          <w:b/>
        </w:rPr>
      </w:pPr>
      <w:r>
        <w:rPr>
          <w:rFonts w:hint="eastAsia" w:asciiTheme="minorEastAsia" w:hAnsiTheme="minorEastAsia" w:eastAsiaTheme="minorEastAsia"/>
          <w:b/>
        </w:rPr>
        <w:t>2.交货要求及验收</w:t>
      </w:r>
    </w:p>
    <w:p>
      <w:pPr>
        <w:rPr>
          <w:rFonts w:ascii="宋体" w:hAnsi="宋体"/>
          <w:kern w:val="58"/>
          <w:sz w:val="21"/>
          <w:szCs w:val="20"/>
        </w:rPr>
      </w:pPr>
      <w:r>
        <w:rPr>
          <w:rFonts w:hint="eastAsia" w:ascii="宋体" w:hAnsi="宋体"/>
          <w:kern w:val="58"/>
          <w:sz w:val="21"/>
          <w:szCs w:val="20"/>
        </w:rPr>
        <w:t>2.1本项目所有供货计划、订单、验收合格证明均以比选发起人书面确认为准,根据</w:t>
      </w:r>
      <w:r>
        <w:rPr>
          <w:rFonts w:ascii="宋体" w:hAnsi="宋体"/>
          <w:kern w:val="58"/>
          <w:sz w:val="21"/>
          <w:szCs w:val="20"/>
        </w:rPr>
        <w:t>实际需求分批次供货</w:t>
      </w:r>
      <w:r>
        <w:rPr>
          <w:rFonts w:hint="eastAsia" w:ascii="宋体" w:hAnsi="宋体"/>
          <w:kern w:val="58"/>
          <w:sz w:val="21"/>
          <w:szCs w:val="20"/>
        </w:rPr>
        <w:t>，每批次订单下发后30天内完成供货、安装及验收。</w:t>
      </w:r>
    </w:p>
    <w:p>
      <w:pPr>
        <w:rPr>
          <w:rFonts w:ascii="宋体" w:hAnsi="宋体"/>
          <w:kern w:val="58"/>
          <w:sz w:val="21"/>
          <w:szCs w:val="20"/>
        </w:rPr>
      </w:pPr>
      <w:r>
        <w:rPr>
          <w:rFonts w:hint="eastAsia" w:ascii="宋体" w:hAnsi="宋体"/>
          <w:kern w:val="58"/>
          <w:sz w:val="21"/>
          <w:szCs w:val="20"/>
        </w:rPr>
        <w:t>2.2所有纱窗根据要求安装至每个站/车辆段/停车场指定位置（5号线一期及其他指定场所）。</w:t>
      </w:r>
    </w:p>
    <w:p>
      <w:pPr>
        <w:rPr>
          <w:rFonts w:ascii="宋体" w:hAnsi="宋体"/>
          <w:kern w:val="58"/>
          <w:sz w:val="21"/>
          <w:szCs w:val="20"/>
        </w:rPr>
      </w:pPr>
      <w:r>
        <w:rPr>
          <w:rFonts w:hint="eastAsia" w:ascii="宋体" w:hAnsi="宋体"/>
          <w:kern w:val="58"/>
          <w:sz w:val="21"/>
          <w:szCs w:val="20"/>
        </w:rPr>
        <w:t>2.3比选申请文件中需提供纱网、面料厂家针对本项目的授权书</w:t>
      </w:r>
      <w:r>
        <w:rPr>
          <w:rFonts w:hint="eastAsia" w:ascii="宋体" w:hAnsi="宋体"/>
          <w:b/>
          <w:kern w:val="58"/>
          <w:sz w:val="21"/>
          <w:szCs w:val="20"/>
        </w:rPr>
        <w:t>（如为复印件需加盖公章，原件备查）；</w:t>
      </w:r>
      <w:r>
        <w:rPr>
          <w:rFonts w:hint="eastAsia" w:ascii="宋体" w:hAnsi="宋体"/>
          <w:kern w:val="58"/>
          <w:sz w:val="21"/>
          <w:szCs w:val="20"/>
        </w:rPr>
        <w:t>提供纱网、面料的检测报告</w:t>
      </w:r>
      <w:r>
        <w:rPr>
          <w:rFonts w:hint="eastAsia" w:ascii="宋体" w:hAnsi="宋体"/>
          <w:b/>
          <w:kern w:val="58"/>
          <w:sz w:val="21"/>
          <w:szCs w:val="20"/>
        </w:rPr>
        <w:t>（复印件需加盖面料厂家公章，原件备查）</w:t>
      </w:r>
      <w:r>
        <w:rPr>
          <w:rFonts w:hint="eastAsia" w:ascii="宋体" w:hAnsi="宋体"/>
          <w:kern w:val="58"/>
          <w:sz w:val="21"/>
          <w:szCs w:val="20"/>
        </w:rPr>
        <w:t>。授权书和检测报告必须为同一家厂家出具。</w:t>
      </w:r>
    </w:p>
    <w:p>
      <w:pPr>
        <w:rPr>
          <w:rFonts w:ascii="宋体" w:hAnsi="宋体"/>
          <w:b/>
          <w:kern w:val="58"/>
          <w:sz w:val="21"/>
          <w:szCs w:val="20"/>
        </w:rPr>
      </w:pPr>
      <w:r>
        <w:rPr>
          <w:rFonts w:hint="eastAsia" w:ascii="宋体" w:hAnsi="宋体"/>
          <w:kern w:val="58"/>
          <w:sz w:val="21"/>
          <w:szCs w:val="20"/>
        </w:rPr>
        <w:t>2.4本次窗帘及纱窗的安装分布宁波轨道交5号线一期及其他指定线路的各个车站及车辆段,地点分散且分批安装时间跨度大，请厂家在报价时充分考虑运费及各类安装人工成本。</w:t>
      </w:r>
      <w:r>
        <w:rPr>
          <w:rFonts w:hint="eastAsia" w:ascii="宋体" w:hAnsi="宋体"/>
          <w:b/>
          <w:kern w:val="58"/>
          <w:sz w:val="21"/>
          <w:szCs w:val="20"/>
        </w:rPr>
        <w:t>实际安装数量根据后期测量安装面积或长度为准。</w:t>
      </w:r>
    </w:p>
    <w:p>
      <w:pPr>
        <w:rPr>
          <w:rFonts w:asciiTheme="minorEastAsia" w:hAnsiTheme="minorEastAsia" w:eastAsiaTheme="minorEastAsia"/>
          <w:b/>
        </w:rPr>
      </w:pPr>
      <w:r>
        <w:rPr>
          <w:rFonts w:hint="eastAsia" w:asciiTheme="minorEastAsia" w:hAnsiTheme="minorEastAsia" w:eastAsiaTheme="minorEastAsia"/>
          <w:b/>
        </w:rPr>
        <w:t>3.售后服务</w:t>
      </w:r>
    </w:p>
    <w:p>
      <w:pPr>
        <w:rPr>
          <w:rFonts w:ascii="宋体" w:hAnsi="宋体"/>
          <w:kern w:val="58"/>
          <w:sz w:val="21"/>
          <w:szCs w:val="20"/>
        </w:rPr>
      </w:pPr>
      <w:r>
        <w:rPr>
          <w:rFonts w:hint="eastAsia" w:ascii="宋体" w:hAnsi="宋体"/>
          <w:kern w:val="58"/>
          <w:sz w:val="21"/>
          <w:szCs w:val="20"/>
        </w:rPr>
        <w:t>3.1安装好的窗帘及纱窗30天内出现使用问题，由成交供货商负责免费更换。</w:t>
      </w:r>
    </w:p>
    <w:p>
      <w:pPr>
        <w:rPr>
          <w:rFonts w:ascii="宋体" w:hAnsi="宋体"/>
          <w:kern w:val="58"/>
          <w:sz w:val="21"/>
          <w:szCs w:val="20"/>
        </w:rPr>
      </w:pPr>
      <w:r>
        <w:rPr>
          <w:rFonts w:hint="eastAsia" w:ascii="宋体" w:hAnsi="宋体"/>
          <w:kern w:val="58"/>
          <w:sz w:val="21"/>
          <w:szCs w:val="20"/>
        </w:rPr>
        <w:t>3.2所有窗帘及纱窗的质保期为2年，自安装验收合格之日起计算。成交供货商</w:t>
      </w:r>
      <w:r>
        <w:rPr>
          <w:rFonts w:ascii="宋体" w:hAnsi="宋体"/>
          <w:kern w:val="58"/>
          <w:sz w:val="21"/>
          <w:szCs w:val="20"/>
        </w:rPr>
        <w:t>在</w:t>
      </w:r>
      <w:r>
        <w:rPr>
          <w:rFonts w:hint="eastAsia" w:ascii="宋体" w:hAnsi="宋体"/>
          <w:kern w:val="58"/>
          <w:sz w:val="21"/>
          <w:szCs w:val="20"/>
        </w:rPr>
        <w:t>质保期</w:t>
      </w:r>
      <w:r>
        <w:rPr>
          <w:rFonts w:ascii="宋体" w:hAnsi="宋体"/>
          <w:kern w:val="58"/>
          <w:sz w:val="21"/>
          <w:szCs w:val="20"/>
        </w:rPr>
        <w:t>内的工作应包括对</w:t>
      </w:r>
      <w:r>
        <w:rPr>
          <w:rFonts w:hint="eastAsia" w:ascii="宋体" w:hAnsi="宋体"/>
          <w:kern w:val="58"/>
          <w:sz w:val="21"/>
          <w:szCs w:val="20"/>
        </w:rPr>
        <w:t>窗帘及纱窗的</w:t>
      </w:r>
      <w:r>
        <w:rPr>
          <w:rFonts w:ascii="宋体" w:hAnsi="宋体"/>
          <w:kern w:val="58"/>
          <w:sz w:val="21"/>
          <w:szCs w:val="20"/>
        </w:rPr>
        <w:t>常规检查、</w:t>
      </w:r>
      <w:r>
        <w:rPr>
          <w:rFonts w:hint="eastAsia" w:ascii="宋体" w:hAnsi="宋体"/>
          <w:kern w:val="58"/>
          <w:sz w:val="21"/>
          <w:szCs w:val="20"/>
        </w:rPr>
        <w:t>维护、维修</w:t>
      </w:r>
      <w:r>
        <w:rPr>
          <w:rFonts w:ascii="宋体" w:hAnsi="宋体"/>
          <w:kern w:val="58"/>
          <w:sz w:val="21"/>
          <w:szCs w:val="20"/>
        </w:rPr>
        <w:t>等。</w:t>
      </w:r>
    </w:p>
    <w:p>
      <w:pPr>
        <w:rPr>
          <w:rFonts w:asciiTheme="minorEastAsia" w:hAnsiTheme="minorEastAsia" w:eastAsiaTheme="minorEastAsia"/>
          <w:b/>
        </w:rPr>
      </w:pPr>
      <w:r>
        <w:rPr>
          <w:rFonts w:hint="eastAsia" w:asciiTheme="minorEastAsia" w:hAnsiTheme="minorEastAsia" w:eastAsiaTheme="minorEastAsia"/>
          <w:b/>
        </w:rPr>
        <w:t>4.样品要求</w:t>
      </w:r>
    </w:p>
    <w:p>
      <w:pPr>
        <w:rPr>
          <w:rFonts w:ascii="宋体" w:hAnsi="宋体"/>
          <w:kern w:val="58"/>
          <w:sz w:val="21"/>
          <w:szCs w:val="20"/>
        </w:rPr>
      </w:pPr>
      <w:r>
        <w:rPr>
          <w:rFonts w:hint="eastAsia" w:ascii="宋体" w:hAnsi="宋体"/>
          <w:kern w:val="58"/>
          <w:sz w:val="21"/>
          <w:szCs w:val="20"/>
        </w:rPr>
        <w:t>4.1比选申请人应提供以下样品，样品于提交比选申请文件截止时间前提交：</w:t>
      </w:r>
    </w:p>
    <w:p>
      <w:pPr>
        <w:rPr>
          <w:rFonts w:ascii="宋体" w:hAnsi="宋体"/>
          <w:kern w:val="58"/>
          <w:sz w:val="21"/>
          <w:szCs w:val="20"/>
        </w:rPr>
      </w:pPr>
      <w:r>
        <w:rPr>
          <w:rFonts w:hint="eastAsia" w:ascii="宋体" w:hAnsi="宋体"/>
          <w:kern w:val="58"/>
          <w:sz w:val="21"/>
          <w:szCs w:val="20"/>
        </w:rPr>
        <w:t>纱窗：普通纱窗及隐形纱窗成品样品各一件，尺寸不小于300MM（长）*400MM（宽），并可现场进行使用演示。</w:t>
      </w:r>
    </w:p>
    <w:p>
      <w:pPr>
        <w:rPr>
          <w:rFonts w:ascii="宋体" w:hAnsi="宋体"/>
          <w:kern w:val="58"/>
          <w:sz w:val="21"/>
          <w:szCs w:val="20"/>
        </w:rPr>
      </w:pPr>
      <w:r>
        <w:rPr>
          <w:rFonts w:hint="eastAsia" w:ascii="宋体" w:hAnsi="宋体"/>
          <w:kern w:val="58"/>
          <w:sz w:val="21"/>
          <w:szCs w:val="20"/>
        </w:rPr>
        <w:t>窗帘：样品一件，尺寸不小于300MM（长）*400MM（宽），并可现场进行使用演示。另提供配件小样（面料、卷管、制头、拉绳、下梁等）面板一块。</w:t>
      </w:r>
    </w:p>
    <w:p>
      <w:pPr>
        <w:rPr>
          <w:rFonts w:ascii="宋体" w:hAnsi="宋体"/>
          <w:kern w:val="58"/>
          <w:sz w:val="21"/>
          <w:szCs w:val="20"/>
        </w:rPr>
      </w:pPr>
      <w:r>
        <w:rPr>
          <w:rFonts w:hint="eastAsia" w:ascii="宋体" w:hAnsi="宋体"/>
          <w:kern w:val="58"/>
          <w:sz w:val="21"/>
          <w:szCs w:val="20"/>
        </w:rPr>
        <w:t>4.2评审结束后，比选发起人将对成交候选人的所有样品进行封存，作为验收的依据。其他比选申请人的样品在评审结束后自行领回。</w:t>
      </w:r>
    </w:p>
    <w:p/>
    <w:p/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EE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pPr>
      <w:spacing w:line="240" w:lineRule="auto"/>
    </w:pPr>
    <w:rPr>
      <w:rFonts w:ascii="宋体" w:hAnsi="Courier New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2021-10-18T03:06:56Z</dcterms:created>
  <dc:creator>lenovo</dc:creator>
  <cp:lastModifiedBy>lenovo</cp:lastModifiedBy>
  <dcterms:modified xsi:type="dcterms:W3CDTF">2021-10-18T03:07:17Z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