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bookmarkStart w:id="0" w:name="_Toc80868193"/>
      <w:bookmarkStart w:id="1" w:name="_Toc64728502"/>
      <w:r>
        <w:rPr>
          <w:rFonts w:hint="eastAsia"/>
          <w:sz w:val="32"/>
          <w:szCs w:val="32"/>
        </w:rPr>
        <w:t xml:space="preserve"> 用户需求书</w:t>
      </w:r>
      <w:bookmarkEnd w:id="0"/>
      <w:bookmarkEnd w:id="1"/>
    </w:p>
    <w:p>
      <w:pPr>
        <w:rPr>
          <w:rFonts w:asciiTheme="minorEastAsia" w:hAnsiTheme="minorEastAsia" w:eastAsiaTheme="minorEastAsia"/>
          <w:b/>
        </w:rPr>
      </w:pPr>
      <w:bookmarkStart w:id="2" w:name="_Toc27055"/>
      <w:r>
        <w:rPr>
          <w:rFonts w:hint="eastAsia" w:asciiTheme="minorEastAsia" w:hAnsiTheme="minorEastAsia" w:eastAsiaTheme="minorEastAsia"/>
          <w:b/>
        </w:rPr>
        <w:t>1.项目概况</w:t>
      </w:r>
      <w:bookmarkEnd w:id="2"/>
    </w:p>
    <w:p>
      <w:pPr>
        <w:ind w:firstLine="420" w:firstLineChars="200"/>
        <w:rPr>
          <w:rFonts w:ascii="宋体" w:hAnsi="宋体"/>
          <w:kern w:val="58"/>
          <w:sz w:val="21"/>
          <w:szCs w:val="20"/>
        </w:rPr>
      </w:pPr>
      <w:r>
        <w:rPr>
          <w:rFonts w:hint="eastAsia" w:ascii="宋体" w:hAnsi="宋体"/>
          <w:kern w:val="58"/>
          <w:sz w:val="21"/>
          <w:szCs w:val="20"/>
        </w:rPr>
        <w:t>按照集团“以创建文明典范城市为更高标准，不断巩固提升轨道交通运营服务品牌”的总体要求，作为落实“不断加强环境卫生整治，提升乘客出行体验”的具体举措。针对目前部分车站公共卫生间存在的客观现状，现申请对线网12个车站公共卫生间采购空气净化</w:t>
      </w:r>
      <w:r>
        <w:rPr>
          <w:rFonts w:hint="eastAsia" w:ascii="宋体" w:hAnsi="宋体"/>
          <w:kern w:val="58"/>
          <w:sz w:val="21"/>
          <w:szCs w:val="20"/>
          <w:lang w:val="en-US" w:eastAsia="zh-CN"/>
        </w:rPr>
        <w:t>装置1批</w:t>
      </w:r>
      <w:r>
        <w:rPr>
          <w:rFonts w:hint="eastAsia" w:ascii="宋体" w:hAnsi="宋体"/>
          <w:kern w:val="58"/>
          <w:sz w:val="21"/>
          <w:szCs w:val="20"/>
        </w:rPr>
        <w:t>，用以进一步改善提升车站乘客环境体验，强化车站运营优质服务基础。具体设备配置点位如下：</w:t>
      </w:r>
    </w:p>
    <w:p>
      <w:pPr>
        <w:rPr>
          <w:rFonts w:ascii="宋体" w:hAnsi="宋体"/>
          <w:kern w:val="58"/>
          <w:sz w:val="21"/>
          <w:szCs w:val="20"/>
        </w:rPr>
      </w:pPr>
      <w:r>
        <w:rPr>
          <w:rFonts w:hint="eastAsia" w:ascii="宋体" w:hAnsi="宋体"/>
          <w:kern w:val="58"/>
          <w:sz w:val="21"/>
          <w:szCs w:val="20"/>
        </w:rPr>
        <w:t>1号线：望春桥站，东环南路站、舟孟北路站、盛莫路站、世纪大道站、中河路站（男厕），计11套；</w:t>
      </w:r>
    </w:p>
    <w:p>
      <w:pPr>
        <w:rPr>
          <w:rFonts w:ascii="宋体" w:hAnsi="宋体"/>
          <w:kern w:val="58"/>
          <w:sz w:val="21"/>
          <w:szCs w:val="20"/>
        </w:rPr>
      </w:pPr>
      <w:r>
        <w:rPr>
          <w:rFonts w:hint="eastAsia" w:ascii="宋体" w:hAnsi="宋体"/>
          <w:kern w:val="58"/>
          <w:sz w:val="21"/>
          <w:szCs w:val="20"/>
        </w:rPr>
        <w:t>2号线：宁波大学站、聪园路站、清水浦站，计6套；</w:t>
      </w:r>
    </w:p>
    <w:p>
      <w:pPr>
        <w:rPr>
          <w:rFonts w:ascii="宋体" w:hAnsi="宋体"/>
          <w:kern w:val="58"/>
          <w:sz w:val="21"/>
          <w:szCs w:val="20"/>
        </w:rPr>
      </w:pPr>
      <w:r>
        <w:rPr>
          <w:rFonts w:hint="eastAsia" w:ascii="宋体" w:hAnsi="宋体"/>
          <w:kern w:val="58"/>
          <w:sz w:val="21"/>
          <w:szCs w:val="20"/>
        </w:rPr>
        <w:t>3号线：明楼站、金海路站，计4套；</w:t>
      </w:r>
    </w:p>
    <w:p>
      <w:pPr>
        <w:rPr>
          <w:rFonts w:ascii="宋体" w:hAnsi="宋体"/>
          <w:kern w:val="58"/>
          <w:sz w:val="21"/>
          <w:szCs w:val="20"/>
        </w:rPr>
      </w:pPr>
      <w:r>
        <w:rPr>
          <w:rFonts w:hint="eastAsia" w:ascii="宋体" w:hAnsi="宋体"/>
          <w:kern w:val="58"/>
          <w:sz w:val="21"/>
          <w:szCs w:val="20"/>
        </w:rPr>
        <w:t>4号线：儿童公园站，计2套。</w:t>
      </w:r>
    </w:p>
    <w:p>
      <w:pPr>
        <w:pStyle w:val="2"/>
      </w:pPr>
    </w:p>
    <w:p>
      <w:pPr>
        <w:pStyle w:val="2"/>
      </w:pPr>
    </w:p>
    <w:p>
      <w:pPr>
        <w:pStyle w:val="2"/>
      </w:pPr>
    </w:p>
    <w:p>
      <w:pPr>
        <w:pStyle w:val="2"/>
        <w:sectPr>
          <w:pgSz w:w="11906" w:h="16838"/>
          <w:pgMar w:top="1440" w:right="1077" w:bottom="1440" w:left="1077" w:header="851" w:footer="992" w:gutter="0"/>
          <w:cols w:space="425" w:num="1"/>
          <w:docGrid w:type="lines" w:linePitch="326" w:charSpace="0"/>
        </w:sectPr>
      </w:pPr>
    </w:p>
    <w:p>
      <w:pPr>
        <w:rPr>
          <w:rFonts w:asciiTheme="minorEastAsia" w:hAnsiTheme="minorEastAsia" w:eastAsiaTheme="minorEastAsia"/>
          <w:b/>
        </w:rPr>
      </w:pPr>
      <w:r>
        <w:rPr>
          <w:rFonts w:hint="eastAsia" w:asciiTheme="minorEastAsia" w:hAnsiTheme="minorEastAsia" w:eastAsiaTheme="minorEastAsia"/>
          <w:b/>
        </w:rPr>
        <w:t>2.货物清单及技术要求</w:t>
      </w:r>
    </w:p>
    <w:tbl>
      <w:tblPr>
        <w:tblStyle w:val="4"/>
        <w:tblW w:w="13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417"/>
        <w:gridCol w:w="7223"/>
        <w:gridCol w:w="993"/>
        <w:gridCol w:w="1401"/>
        <w:gridCol w:w="1165"/>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blHeader/>
          <w:jc w:val="center"/>
        </w:trPr>
        <w:tc>
          <w:tcPr>
            <w:tcW w:w="843"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序号</w:t>
            </w:r>
          </w:p>
        </w:tc>
        <w:tc>
          <w:tcPr>
            <w:tcW w:w="1417"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物资名称</w:t>
            </w:r>
          </w:p>
        </w:tc>
        <w:tc>
          <w:tcPr>
            <w:tcW w:w="7223" w:type="dxa"/>
            <w:vMerge w:val="restart"/>
            <w:shd w:val="clear" w:color="auto" w:fill="FFFFFF"/>
            <w:vAlign w:val="center"/>
          </w:tcPr>
          <w:p>
            <w:pPr>
              <w:spacing w:line="400" w:lineRule="exact"/>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参考规格、技术参数及要求</w:t>
            </w:r>
          </w:p>
        </w:tc>
        <w:tc>
          <w:tcPr>
            <w:tcW w:w="993"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单位</w:t>
            </w:r>
          </w:p>
        </w:tc>
        <w:tc>
          <w:tcPr>
            <w:tcW w:w="1401"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参考或相当于如下品牌</w:t>
            </w:r>
          </w:p>
        </w:tc>
        <w:tc>
          <w:tcPr>
            <w:tcW w:w="1165"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数量</w:t>
            </w:r>
          </w:p>
        </w:tc>
        <w:tc>
          <w:tcPr>
            <w:tcW w:w="899"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blHeader/>
          <w:jc w:val="center"/>
        </w:trPr>
        <w:tc>
          <w:tcPr>
            <w:tcW w:w="843" w:type="dxa"/>
            <w:vMerge w:val="continue"/>
            <w:shd w:val="clear" w:color="auto" w:fill="FFFFFF"/>
            <w:vAlign w:val="center"/>
          </w:tcPr>
          <w:p>
            <w:pPr>
              <w:widowControl/>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widowControl/>
              <w:spacing w:line="400" w:lineRule="exact"/>
              <w:jc w:val="center"/>
              <w:rPr>
                <w:rFonts w:cs="宋体" w:asciiTheme="minorEastAsia" w:hAnsiTheme="minorEastAsia" w:eastAsiaTheme="minorEastAsia"/>
                <w:b/>
                <w:bCs/>
                <w:kern w:val="0"/>
                <w:sz w:val="21"/>
                <w:szCs w:val="21"/>
              </w:rPr>
            </w:pPr>
          </w:p>
        </w:tc>
        <w:tc>
          <w:tcPr>
            <w:tcW w:w="7223" w:type="dxa"/>
            <w:vMerge w:val="continue"/>
            <w:shd w:val="clear" w:color="auto" w:fill="FFFFFF"/>
            <w:vAlign w:val="center"/>
          </w:tcPr>
          <w:p>
            <w:pPr>
              <w:widowControl/>
              <w:spacing w:line="400" w:lineRule="exact"/>
              <w:jc w:val="left"/>
              <w:rPr>
                <w:rFonts w:cs="宋体" w:asciiTheme="minorEastAsia" w:hAnsiTheme="minorEastAsia" w:eastAsiaTheme="minorEastAsia"/>
                <w:b/>
                <w:bCs/>
                <w:kern w:val="0"/>
                <w:sz w:val="21"/>
                <w:szCs w:val="21"/>
              </w:rPr>
            </w:pPr>
          </w:p>
        </w:tc>
        <w:tc>
          <w:tcPr>
            <w:tcW w:w="993" w:type="dxa"/>
            <w:vMerge w:val="continue"/>
            <w:shd w:val="clear" w:color="auto" w:fill="FFFFFF"/>
            <w:vAlign w:val="center"/>
          </w:tcPr>
          <w:p>
            <w:pPr>
              <w:widowControl/>
              <w:spacing w:line="400" w:lineRule="exact"/>
              <w:jc w:val="center"/>
              <w:rPr>
                <w:rFonts w:cs="宋体" w:asciiTheme="minorEastAsia" w:hAnsiTheme="minorEastAsia" w:eastAsiaTheme="minorEastAsia"/>
                <w:b/>
                <w:bCs/>
                <w:kern w:val="0"/>
                <w:sz w:val="21"/>
                <w:szCs w:val="21"/>
              </w:rPr>
            </w:pPr>
          </w:p>
        </w:tc>
        <w:tc>
          <w:tcPr>
            <w:tcW w:w="1401" w:type="dxa"/>
            <w:vMerge w:val="continue"/>
            <w:shd w:val="clear" w:color="auto" w:fill="FFFFFF"/>
            <w:vAlign w:val="center"/>
          </w:tcPr>
          <w:p>
            <w:pPr>
              <w:widowControl/>
              <w:spacing w:line="400" w:lineRule="exact"/>
              <w:jc w:val="center"/>
              <w:rPr>
                <w:rFonts w:cs="宋体" w:asciiTheme="minorEastAsia" w:hAnsiTheme="minorEastAsia" w:eastAsiaTheme="minorEastAsia"/>
                <w:b/>
                <w:bCs/>
                <w:kern w:val="0"/>
                <w:sz w:val="21"/>
                <w:szCs w:val="21"/>
              </w:rPr>
            </w:pPr>
          </w:p>
        </w:tc>
        <w:tc>
          <w:tcPr>
            <w:tcW w:w="1165" w:type="dxa"/>
            <w:vMerge w:val="continue"/>
            <w:shd w:val="clear" w:color="auto" w:fill="FFFFFF"/>
            <w:vAlign w:val="center"/>
          </w:tcPr>
          <w:p>
            <w:pPr>
              <w:widowControl/>
              <w:spacing w:line="400" w:lineRule="exact"/>
              <w:jc w:val="center"/>
              <w:rPr>
                <w:rFonts w:cs="宋体" w:asciiTheme="minorEastAsia" w:hAnsiTheme="minorEastAsia" w:eastAsiaTheme="minorEastAsia"/>
                <w:b/>
                <w:bCs/>
                <w:kern w:val="0"/>
                <w:sz w:val="21"/>
                <w:szCs w:val="21"/>
              </w:rPr>
            </w:pPr>
          </w:p>
        </w:tc>
        <w:tc>
          <w:tcPr>
            <w:tcW w:w="899" w:type="dxa"/>
            <w:vMerge w:val="continue"/>
            <w:shd w:val="clear" w:color="auto" w:fill="FFFFFF"/>
            <w:vAlign w:val="center"/>
          </w:tcPr>
          <w:p>
            <w:pPr>
              <w:widowControl/>
              <w:spacing w:line="400" w:lineRule="exact"/>
              <w:jc w:val="center"/>
              <w:rPr>
                <w:rFonts w:cs="宋体" w:asciiTheme="minorEastAsia" w:hAnsiTheme="minorEastAsia" w:eastAsiaTheme="minorEastAsia"/>
                <w:b/>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843"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1</w:t>
            </w:r>
          </w:p>
        </w:tc>
        <w:tc>
          <w:tcPr>
            <w:tcW w:w="1417"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空气净化装置</w:t>
            </w:r>
          </w:p>
        </w:tc>
        <w:tc>
          <w:tcPr>
            <w:tcW w:w="7223" w:type="dxa"/>
            <w:shd w:val="clear" w:color="auto" w:fill="FFFFFF"/>
          </w:tcPr>
          <w:p>
            <w:pPr>
              <w:spacing w:line="400" w:lineRule="exact"/>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1、电源频率为（50±1)Hz；电压为（187∽242）V</w:t>
            </w:r>
          </w:p>
        </w:tc>
        <w:tc>
          <w:tcPr>
            <w:tcW w:w="993"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套</w:t>
            </w:r>
          </w:p>
        </w:tc>
        <w:tc>
          <w:tcPr>
            <w:tcW w:w="1401"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杭州银帆、怡科罗、优特派尔</w:t>
            </w:r>
          </w:p>
        </w:tc>
        <w:tc>
          <w:tcPr>
            <w:tcW w:w="1165"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23</w:t>
            </w:r>
          </w:p>
        </w:tc>
        <w:tc>
          <w:tcPr>
            <w:tcW w:w="899" w:type="dxa"/>
            <w:vMerge w:val="restart"/>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spacing w:line="400" w:lineRule="exact"/>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2、适用范围：不低于30㎡</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spacing w:line="400" w:lineRule="exact"/>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3、额定功率：不超过20W</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spacing w:line="400" w:lineRule="exact"/>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4、外形尺寸（长*宽*高）：不超过330*290*100mm</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spacing w:line="400" w:lineRule="exact"/>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5、噪声：≤55dB</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6、一键启动自动运行。</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7、空气质量自动检测。</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8、手动模式、自动模式自动切换。</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9、设备工作时间设置。</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10、设备内材料使用剩余量及使用天数查看。</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11、设备及配套耗材使用过程中，无需额外加水或接水管，使用更安全、更便捷。</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43" w:type="dxa"/>
            <w:vMerge w:val="restart"/>
            <w:shd w:val="clear" w:color="auto" w:fill="FFFFFF"/>
            <w:vAlign w:val="center"/>
          </w:tcPr>
          <w:p>
            <w:pPr>
              <w:spacing w:line="400" w:lineRule="exact"/>
              <w:jc w:val="center"/>
              <w:rPr>
                <w:rFonts w:cs="宋体" w:asciiTheme="minorEastAsia" w:hAnsiTheme="minorEastAsia" w:eastAsiaTheme="minorEastAsia"/>
                <w:b/>
                <w:bCs/>
                <w:kern w:val="0"/>
                <w:sz w:val="21"/>
                <w:szCs w:val="21"/>
              </w:rPr>
            </w:pPr>
            <w:r>
              <w:rPr>
                <w:rFonts w:hint="eastAsia" w:cs="宋体" w:asciiTheme="minorEastAsia" w:hAnsiTheme="minorEastAsia" w:eastAsiaTheme="minorEastAsia"/>
                <w:b/>
                <w:bCs/>
                <w:kern w:val="0"/>
                <w:sz w:val="21"/>
                <w:szCs w:val="21"/>
              </w:rPr>
              <w:t>2</w:t>
            </w:r>
          </w:p>
        </w:tc>
        <w:tc>
          <w:tcPr>
            <w:tcW w:w="1417"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空气净化装置配套药剂</w:t>
            </w: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1、天然植物原料制成</w:t>
            </w:r>
          </w:p>
        </w:tc>
        <w:tc>
          <w:tcPr>
            <w:tcW w:w="993"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套</w:t>
            </w:r>
          </w:p>
        </w:tc>
        <w:tc>
          <w:tcPr>
            <w:tcW w:w="1401"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要求与空气净化装置配套</w:t>
            </w:r>
          </w:p>
        </w:tc>
        <w:tc>
          <w:tcPr>
            <w:tcW w:w="1165" w:type="dxa"/>
            <w:vMerge w:val="restart"/>
            <w:shd w:val="clear" w:color="auto" w:fill="FFFFFF"/>
            <w:vAlign w:val="center"/>
          </w:tcPr>
          <w:p>
            <w:pPr>
              <w:spacing w:line="400" w:lineRule="exact"/>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23（每套为12个月的用量）</w:t>
            </w:r>
          </w:p>
        </w:tc>
        <w:tc>
          <w:tcPr>
            <w:tcW w:w="899" w:type="dxa"/>
            <w:vMerge w:val="restart"/>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2、零度不会冻结，不分解</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3、适用于常温，理想温度为25℃，高温限度为55℃</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4、安全无毒无害，无过敏性，无皮肤刺激性</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43" w:type="dxa"/>
            <w:vMerge w:val="continue"/>
            <w:shd w:val="clear" w:color="auto" w:fill="FFFFFF"/>
            <w:vAlign w:val="center"/>
          </w:tcPr>
          <w:p>
            <w:pPr>
              <w:spacing w:line="400" w:lineRule="exact"/>
              <w:jc w:val="center"/>
              <w:rPr>
                <w:rFonts w:cs="宋体" w:asciiTheme="minorEastAsia" w:hAnsiTheme="minorEastAsia" w:eastAsiaTheme="minorEastAsia"/>
                <w:b/>
                <w:bCs/>
                <w:kern w:val="0"/>
                <w:sz w:val="21"/>
                <w:szCs w:val="21"/>
              </w:rPr>
            </w:pPr>
          </w:p>
        </w:tc>
        <w:tc>
          <w:tcPr>
            <w:tcW w:w="1417"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7223" w:type="dxa"/>
            <w:shd w:val="clear" w:color="auto" w:fill="FFFFFF"/>
          </w:tcPr>
          <w:p>
            <w:pP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lang w:val="en-US" w:eastAsia="zh-CN"/>
              </w:rPr>
              <w:t>5</w:t>
            </w:r>
            <w:r>
              <w:rPr>
                <w:rFonts w:hint="eastAsia" w:cs="宋体" w:asciiTheme="minorEastAsia" w:hAnsiTheme="minorEastAsia" w:eastAsiaTheme="minorEastAsia"/>
                <w:sz w:val="21"/>
                <w:szCs w:val="21"/>
              </w:rPr>
              <w:t>、能有效分解氨、硫化氢、苯、二甲苯、甲醛、TVOC等有害物质，且具备杀灭有害菌（包含但不限于金黄色葡萄球菌、大肠杆菌、绿脓杆菌、沙门氏菌、李斯特菌、白色念珠菌）、驱蚊蝇等作用。</w:t>
            </w:r>
          </w:p>
        </w:tc>
        <w:tc>
          <w:tcPr>
            <w:tcW w:w="993"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401"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1165" w:type="dxa"/>
            <w:vMerge w:val="continue"/>
            <w:shd w:val="clear" w:color="auto" w:fill="FFFFFF"/>
            <w:vAlign w:val="center"/>
          </w:tcPr>
          <w:p>
            <w:pPr>
              <w:spacing w:line="400" w:lineRule="exact"/>
              <w:jc w:val="center"/>
              <w:rPr>
                <w:rFonts w:cs="宋体" w:asciiTheme="minorEastAsia" w:hAnsiTheme="minorEastAsia" w:eastAsiaTheme="minorEastAsia"/>
                <w:sz w:val="21"/>
                <w:szCs w:val="21"/>
              </w:rPr>
            </w:pPr>
          </w:p>
        </w:tc>
        <w:tc>
          <w:tcPr>
            <w:tcW w:w="899" w:type="dxa"/>
            <w:vMerge w:val="continue"/>
            <w:shd w:val="clear" w:color="auto" w:fill="FFFFFF"/>
          </w:tcPr>
          <w:p>
            <w:pPr>
              <w:widowControl/>
              <w:spacing w:line="400" w:lineRule="exact"/>
              <w:jc w:val="center"/>
              <w:rPr>
                <w:rFonts w:cs="宋体" w:asciiTheme="minorEastAsia" w:hAnsiTheme="minorEastAsia" w:eastAsiaTheme="minorEastAsia"/>
                <w:kern w:val="0"/>
                <w:sz w:val="21"/>
                <w:szCs w:val="21"/>
              </w:rPr>
            </w:pPr>
          </w:p>
        </w:tc>
      </w:tr>
    </w:tbl>
    <w:p>
      <w:pPr>
        <w:rPr>
          <w:rFonts w:asciiTheme="minorEastAsia" w:hAnsiTheme="minorEastAsia" w:eastAsiaTheme="minorEastAsia"/>
          <w:b/>
        </w:rPr>
        <w:sectPr>
          <w:pgSz w:w="16838" w:h="11906" w:orient="landscape"/>
          <w:pgMar w:top="1077" w:right="1440" w:bottom="1077" w:left="1440" w:header="851" w:footer="992" w:gutter="0"/>
          <w:cols w:space="425" w:num="1"/>
          <w:docGrid w:type="lines" w:linePitch="326" w:charSpace="0"/>
        </w:sectPr>
      </w:pPr>
    </w:p>
    <w:p>
      <w:pPr>
        <w:rPr>
          <w:rFonts w:asciiTheme="minorEastAsia" w:hAnsiTheme="minorEastAsia" w:eastAsiaTheme="minorEastAsia"/>
          <w:b/>
        </w:rPr>
      </w:pPr>
      <w:r>
        <w:rPr>
          <w:rFonts w:hint="eastAsia" w:asciiTheme="minorEastAsia" w:hAnsiTheme="minorEastAsia" w:eastAsiaTheme="minorEastAsia"/>
          <w:b/>
        </w:rPr>
        <w:t>3.交货时间</w:t>
      </w:r>
    </w:p>
    <w:p>
      <w:pPr>
        <w:rPr>
          <w:rFonts w:ascii="宋体" w:hAnsi="宋体"/>
          <w:kern w:val="58"/>
          <w:sz w:val="21"/>
          <w:szCs w:val="20"/>
        </w:rPr>
      </w:pPr>
      <w:r>
        <w:rPr>
          <w:rFonts w:hint="eastAsia" w:ascii="宋体" w:hAnsi="宋体"/>
          <w:kern w:val="58"/>
          <w:sz w:val="21"/>
          <w:szCs w:val="20"/>
        </w:rPr>
        <w:t>3.1合同签订后7天内完成设备进场安装前的各项准备工作。</w:t>
      </w:r>
    </w:p>
    <w:p>
      <w:pPr>
        <w:rPr>
          <w:rFonts w:ascii="宋体" w:hAnsi="宋体"/>
          <w:kern w:val="58"/>
          <w:sz w:val="21"/>
          <w:szCs w:val="20"/>
        </w:rPr>
      </w:pPr>
      <w:r>
        <w:rPr>
          <w:rFonts w:hint="eastAsia" w:ascii="宋体" w:hAnsi="宋体"/>
          <w:kern w:val="58"/>
          <w:sz w:val="21"/>
          <w:szCs w:val="20"/>
        </w:rPr>
        <w:t>3.2接到比选发起人通知后15天内完成设备进场安装工作并验收合格。</w:t>
      </w:r>
    </w:p>
    <w:p>
      <w:pPr>
        <w:rPr>
          <w:rFonts w:asciiTheme="minorEastAsia" w:hAnsiTheme="minorEastAsia" w:eastAsiaTheme="minorEastAsia"/>
          <w:b/>
        </w:rPr>
      </w:pPr>
      <w:r>
        <w:rPr>
          <w:rFonts w:hint="eastAsia" w:asciiTheme="minorEastAsia" w:hAnsiTheme="minorEastAsia" w:eastAsiaTheme="minorEastAsia"/>
          <w:b/>
        </w:rPr>
        <w:t>4.现场作业要求</w:t>
      </w:r>
    </w:p>
    <w:p>
      <w:pPr>
        <w:rPr>
          <w:rFonts w:ascii="宋体" w:hAnsi="宋体"/>
          <w:kern w:val="58"/>
          <w:sz w:val="21"/>
          <w:szCs w:val="20"/>
        </w:rPr>
      </w:pPr>
      <w:r>
        <w:rPr>
          <w:rFonts w:hint="eastAsia" w:ascii="宋体" w:hAnsi="宋体"/>
          <w:kern w:val="58"/>
          <w:sz w:val="21"/>
          <w:szCs w:val="20"/>
        </w:rPr>
        <w:t>4.1所有空气净化装置根据比选发起人的要求安装至每个站指定位置。</w:t>
      </w:r>
    </w:p>
    <w:p>
      <w:pPr>
        <w:rPr>
          <w:rFonts w:ascii="宋体" w:hAnsi="宋体"/>
          <w:kern w:val="58"/>
          <w:sz w:val="21"/>
          <w:szCs w:val="20"/>
        </w:rPr>
      </w:pPr>
      <w:r>
        <w:rPr>
          <w:rFonts w:hint="eastAsia" w:ascii="宋体" w:hAnsi="宋体"/>
          <w:kern w:val="58"/>
          <w:sz w:val="21"/>
          <w:szCs w:val="20"/>
        </w:rPr>
        <w:t>4.2比选申请人在施工过程中必须在运营分公司指定的作业时间和区域内进行施工，施工过程中不得影响或损坏其它专业的设备设施，如因此造成损失的由比选申请人承担全部责任。</w:t>
      </w:r>
    </w:p>
    <w:p>
      <w:pPr>
        <w:rPr>
          <w:rFonts w:ascii="宋体" w:hAnsi="宋体"/>
          <w:kern w:val="58"/>
          <w:sz w:val="21"/>
          <w:szCs w:val="20"/>
        </w:rPr>
      </w:pPr>
      <w:r>
        <w:rPr>
          <w:rFonts w:hint="eastAsia" w:ascii="宋体" w:hAnsi="宋体"/>
          <w:kern w:val="58"/>
          <w:sz w:val="21"/>
          <w:szCs w:val="20"/>
        </w:rPr>
        <w:t>4.3所有进行本项目的施工人员要遵守宁波轨道交通集团有限公司运营分公司（以下简称运营分公司）的施工管理规定，必须按照施工规范、方案和各项安全操作规程进行作业。全体人员必须持证上岗，施工负责人要接受运营分公司的施工负责人培训。</w:t>
      </w:r>
    </w:p>
    <w:p>
      <w:pPr>
        <w:rPr>
          <w:rFonts w:ascii="宋体" w:hAnsi="宋体"/>
          <w:kern w:val="58"/>
          <w:sz w:val="21"/>
          <w:szCs w:val="20"/>
        </w:rPr>
      </w:pPr>
      <w:r>
        <w:rPr>
          <w:rFonts w:hint="eastAsia" w:ascii="宋体" w:hAnsi="宋体"/>
          <w:kern w:val="58"/>
          <w:sz w:val="21"/>
          <w:szCs w:val="20"/>
        </w:rPr>
        <w:t>4.4所有施工人员必须无条件的听从运营分公司配合人员的安全管理、无条件的遵守运营分公司相关安全规章制度。</w:t>
      </w:r>
    </w:p>
    <w:p>
      <w:pPr>
        <w:rPr>
          <w:rFonts w:ascii="宋体" w:hAnsi="宋体"/>
          <w:kern w:val="58"/>
          <w:sz w:val="21"/>
          <w:szCs w:val="20"/>
        </w:rPr>
      </w:pPr>
      <w:r>
        <w:rPr>
          <w:rFonts w:hint="eastAsia" w:ascii="宋体" w:hAnsi="宋体"/>
          <w:kern w:val="58"/>
          <w:sz w:val="21"/>
          <w:szCs w:val="20"/>
        </w:rPr>
        <w:t>4.5比选申请人在进行施工作业时必须穿戴劳保防护用品。</w:t>
      </w:r>
    </w:p>
    <w:p>
      <w:pPr>
        <w:rPr>
          <w:rFonts w:ascii="宋体" w:hAnsi="宋体"/>
          <w:kern w:val="58"/>
          <w:sz w:val="21"/>
          <w:szCs w:val="20"/>
        </w:rPr>
      </w:pPr>
      <w:r>
        <w:rPr>
          <w:rFonts w:hint="eastAsia" w:ascii="宋体" w:hAnsi="宋体"/>
          <w:kern w:val="58"/>
          <w:sz w:val="21"/>
          <w:szCs w:val="20"/>
        </w:rPr>
        <w:t>4.6每天施工完成后，现场设备设施恢复工作由比选申请人负责。若施工未能于当天完成，人员清场时，比选申请人要做好现场设备设施恢复工作。</w:t>
      </w:r>
    </w:p>
    <w:p>
      <w:pPr>
        <w:rPr>
          <w:rFonts w:ascii="宋体" w:hAnsi="宋体"/>
          <w:kern w:val="58"/>
          <w:sz w:val="21"/>
          <w:szCs w:val="20"/>
        </w:rPr>
      </w:pPr>
      <w:r>
        <w:rPr>
          <w:rFonts w:hint="eastAsia" w:ascii="宋体" w:hAnsi="宋体"/>
          <w:kern w:val="58"/>
          <w:sz w:val="21"/>
          <w:szCs w:val="20"/>
        </w:rPr>
        <w:t>4.7施工地点要按规定设置安全防护及安全标志。</w:t>
      </w:r>
    </w:p>
    <w:p>
      <w:pPr>
        <w:rPr>
          <w:rFonts w:asciiTheme="minorEastAsia" w:hAnsiTheme="minorEastAsia" w:eastAsiaTheme="minorEastAsia"/>
          <w:b/>
        </w:rPr>
      </w:pPr>
      <w:r>
        <w:rPr>
          <w:rFonts w:hint="eastAsia" w:asciiTheme="minorEastAsia" w:hAnsiTheme="minorEastAsia" w:eastAsiaTheme="minorEastAsia"/>
          <w:b/>
        </w:rPr>
        <w:t>5.货物质量保障</w:t>
      </w:r>
    </w:p>
    <w:p>
      <w:pPr>
        <w:rPr>
          <w:rFonts w:ascii="宋体" w:hAnsi="宋体"/>
          <w:kern w:val="58"/>
          <w:sz w:val="21"/>
          <w:szCs w:val="20"/>
        </w:rPr>
      </w:pPr>
      <w:r>
        <w:rPr>
          <w:rFonts w:hint="eastAsia" w:ascii="宋体" w:hAnsi="宋体"/>
          <w:kern w:val="58"/>
          <w:sz w:val="21"/>
          <w:szCs w:val="20"/>
        </w:rPr>
        <w:t>5.1比选申请人应保证主要部件的材质、规格与需求相符，在任何时候，比选发起人如发现材质、规格等不符合要求，比选申请人应无偿更换，比选发起人保留进一步追究受比选申请人责任的权利。</w:t>
      </w:r>
    </w:p>
    <w:p>
      <w:pPr>
        <w:rPr>
          <w:rFonts w:ascii="宋体" w:hAnsi="宋体"/>
          <w:kern w:val="58"/>
          <w:sz w:val="21"/>
          <w:szCs w:val="20"/>
        </w:rPr>
      </w:pPr>
      <w:r>
        <w:rPr>
          <w:rFonts w:hint="eastAsia" w:ascii="宋体" w:hAnsi="宋体"/>
          <w:kern w:val="58"/>
          <w:sz w:val="21"/>
          <w:szCs w:val="20"/>
        </w:rPr>
        <w:t>5.2货物质保期：自所有设备通过验收之日起36个月。比选申请人应在宁波设立驻点机构，组织有经验的技术人员进行现场技术服务。本项目所涉设备在保质期内出现任何故障情况或质量问题，比选申请人应在接到比选发起人通知后2小时内到达现场，并完成故障处理。如比选申请人不能及时维修、更换，造成比选发起人损失由比选申请人负责，比选发起人将以书面形式通知比选申请人，并向比选申请人提出赔偿。如更换设备的，更换设备的质保期将从更换设备验收合格之日起开始重新计算。</w:t>
      </w:r>
    </w:p>
    <w:p/>
    <w:p>
      <w:pPr>
        <w:pStyle w:val="2"/>
      </w:pP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561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pPr>
      <w:spacing w:line="240" w:lineRule="auto"/>
    </w:pPr>
    <w:rPr>
      <w:rFonts w:ascii="宋体" w:hAnsi="Courier New"/>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2022-01-17T04:21:13Z</dcterms:created>
  <dc:creator>lenovo</dc:creator>
  <cp:lastModifiedBy>lenovo</cp:lastModifiedBy>
  <dcterms:modified xsi:type="dcterms:W3CDTF">2022-01-17T04:21:30Z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